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color w:val="000000" w:themeColor="text1"/>
          <w:lang w:eastAsia="zh-CN"/>
          <w14:textFill>
            <w14:solidFill>
              <w14:schemeClr w14:val="tx1"/>
            </w14:solidFill>
          </w14:textFill>
        </w:rPr>
      </w:pPr>
      <w:bookmarkStart w:id="0" w:name="_Hlk57883707"/>
    </w:p>
    <w:p>
      <w:pPr>
        <w:rPr>
          <w:rFonts w:hint="default" w:ascii="Times New Roman" w:hAnsi="Times New Roman" w:eastAsia="仿宋_GB2312" w:cs="Times New Roman"/>
          <w:color w:val="000000" w:themeColor="text1"/>
          <w:sz w:val="36"/>
          <w:szCs w:val="36"/>
          <w14:textFill>
            <w14:solidFill>
              <w14:schemeClr w14:val="tx1"/>
            </w14:solidFill>
          </w14:textFill>
        </w:rPr>
      </w:pPr>
    </w:p>
    <w:p>
      <w:pPr>
        <w:rPr>
          <w:rFonts w:hint="default" w:ascii="Times New Roman" w:hAnsi="Times New Roman" w:eastAsia="仿宋_GB2312" w:cs="Times New Roman"/>
          <w:color w:val="000000" w:themeColor="text1"/>
          <w:sz w:val="36"/>
          <w:szCs w:val="36"/>
          <w14:textFill>
            <w14:solidFill>
              <w14:schemeClr w14:val="tx1"/>
            </w14:solidFill>
          </w14:textFill>
        </w:rPr>
      </w:pPr>
    </w:p>
    <w:p>
      <w:pPr>
        <w:rPr>
          <w:rFonts w:hint="default" w:ascii="Times New Roman" w:hAnsi="Times New Roman" w:eastAsia="仿宋_GB2312" w:cs="Times New Roman"/>
          <w:color w:val="000000" w:themeColor="text1"/>
          <w:sz w:val="36"/>
          <w:szCs w:val="36"/>
          <w14:textFill>
            <w14:solidFill>
              <w14:schemeClr w14:val="tx1"/>
            </w14:solidFill>
          </w14:textFill>
        </w:rPr>
      </w:pPr>
    </w:p>
    <w:bookmarkEnd w:id="0"/>
    <w:p>
      <w:pPr>
        <w:adjustRightInd w:val="0"/>
        <w:snapToGrid w:val="0"/>
        <w:jc w:val="center"/>
        <w:outlineLvl w:val="0"/>
        <w:rPr>
          <w:rFonts w:hint="default" w:ascii="Times New Roman" w:hAnsi="Times New Roman" w:eastAsia="方正小标宋_GBK" w:cs="Times New Roman"/>
          <w:bCs/>
          <w:color w:val="000000" w:themeColor="text1"/>
          <w:sz w:val="72"/>
          <w:szCs w:val="72"/>
          <w14:textFill>
            <w14:solidFill>
              <w14:schemeClr w14:val="tx1"/>
            </w14:solidFill>
          </w14:textFill>
        </w:rPr>
      </w:pPr>
      <w:bookmarkStart w:id="1" w:name="_Toc16968"/>
      <w:bookmarkStart w:id="2" w:name="_Toc29620"/>
      <w:bookmarkStart w:id="3" w:name="_Toc19677"/>
      <w:r>
        <w:rPr>
          <w:rFonts w:hint="default" w:ascii="Times New Roman" w:hAnsi="Times New Roman" w:eastAsia="方正小标宋_GBK" w:cs="Times New Roman"/>
          <w:bCs/>
          <w:color w:val="000000" w:themeColor="text1"/>
          <w:sz w:val="72"/>
          <w:szCs w:val="72"/>
          <w14:textFill>
            <w14:solidFill>
              <w14:schemeClr w14:val="tx1"/>
            </w14:solidFill>
          </w14:textFill>
        </w:rPr>
        <w:t>建设项目环境影响报告表</w:t>
      </w:r>
      <w:bookmarkEnd w:id="1"/>
      <w:bookmarkEnd w:id="2"/>
      <w:bookmarkEnd w:id="3"/>
    </w:p>
    <w:p>
      <w:pPr>
        <w:keepNext w:val="0"/>
        <w:keepLines w:val="0"/>
        <w:pageBreakBefore w:val="0"/>
        <w:widowControl w:val="0"/>
        <w:kinsoku/>
        <w:wordWrap/>
        <w:overflowPunct/>
        <w:topLinePunct w:val="0"/>
        <w:autoSpaceDE/>
        <w:autoSpaceDN/>
        <w:bidi w:val="0"/>
        <w:adjustRightInd w:val="0"/>
        <w:snapToGrid w:val="0"/>
        <w:spacing w:before="192" w:beforeLines="80"/>
        <w:jc w:val="center"/>
        <w:textAlignment w:val="auto"/>
        <w:rPr>
          <w:rFonts w:hint="default" w:ascii="Times New Roman" w:hAnsi="Times New Roman" w:eastAsia="楷体_GB2312" w:cs="Times New Roman"/>
          <w:bCs/>
          <w:color w:val="000000" w:themeColor="text1"/>
          <w:sz w:val="48"/>
          <w:szCs w:val="48"/>
          <w14:textFill>
            <w14:solidFill>
              <w14:schemeClr w14:val="tx1"/>
            </w14:solidFill>
          </w14:textFill>
        </w:rPr>
      </w:pPr>
    </w:p>
    <w:p>
      <w:pPr>
        <w:adjustRightInd w:val="0"/>
        <w:snapToGrid w:val="0"/>
        <w:spacing w:line="288" w:lineRule="auto"/>
        <w:jc w:val="center"/>
        <w:outlineLvl w:val="9"/>
        <w:rPr>
          <w:rFonts w:hint="default" w:ascii="Times New Roman" w:hAnsi="Times New Roman" w:eastAsia="华文仿宋" w:cs="Times New Roman"/>
          <w:color w:val="000000" w:themeColor="text1"/>
          <w:kern w:val="44"/>
          <w:sz w:val="44"/>
          <w:szCs w:val="44"/>
          <w14:textFill>
            <w14:solidFill>
              <w14:schemeClr w14:val="tx1"/>
            </w14:solidFill>
          </w14:textFill>
        </w:rPr>
      </w:pPr>
      <w:bookmarkStart w:id="4" w:name="_Hlk57883728"/>
    </w:p>
    <w:p>
      <w:pPr>
        <w:jc w:val="center"/>
        <w:rPr>
          <w:rFonts w:hint="default" w:ascii="Times New Roman" w:hAnsi="Times New Roman" w:eastAsia="仿宋" w:cs="Times New Roman"/>
          <w:color w:val="000000" w:themeColor="text1"/>
          <w:sz w:val="52"/>
          <w:szCs w:val="52"/>
          <w14:textFill>
            <w14:solidFill>
              <w14:schemeClr w14:val="tx1"/>
            </w14:solidFill>
          </w14:textFill>
        </w:rPr>
      </w:pPr>
      <w:bookmarkStart w:id="73" w:name="_GoBack"/>
      <w:bookmarkEnd w:id="73"/>
    </w:p>
    <w:p>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567"/>
        <w:textAlignment w:val="auto"/>
        <w:rPr>
          <w:rFonts w:hint="default" w:ascii="Times New Roman" w:hAnsi="Times New Roman" w:eastAsia="仿宋_GB2312" w:cs="Times New Roman"/>
          <w:color w:val="000000" w:themeColor="text1"/>
          <w:sz w:val="32"/>
          <w:szCs w:val="32"/>
          <w:u w:val="single"/>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项目名称：</w:t>
      </w:r>
      <w:r>
        <w:rPr>
          <w:rFonts w:hint="default" w:ascii="Times New Roman" w:hAnsi="Times New Roman" w:eastAsia="仿宋_GB2312" w:cs="Times New Roman"/>
          <w:color w:val="000000" w:themeColor="text1"/>
          <w:sz w:val="32"/>
          <w:szCs w:val="32"/>
          <w:u w:val="single"/>
          <w14:textFill>
            <w14:solidFill>
              <w14:schemeClr w14:val="tx1"/>
            </w14:solidFill>
          </w14:textFill>
        </w:rPr>
        <w:t>邵阳县郦家坪光伏发电项目</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110KV升压站工程</w:t>
      </w:r>
    </w:p>
    <w:p>
      <w:pPr>
        <w:keepNext w:val="0"/>
        <w:keepLines w:val="0"/>
        <w:pageBreakBefore w:val="0"/>
        <w:widowControl w:val="0"/>
        <w:kinsoku/>
        <w:wordWrap/>
        <w:overflowPunct/>
        <w:topLinePunct w:val="0"/>
        <w:autoSpaceDE/>
        <w:autoSpaceDN/>
        <w:bidi w:val="0"/>
        <w:adjustRightInd w:val="0"/>
        <w:snapToGrid w:val="0"/>
        <w:spacing w:line="360" w:lineRule="auto"/>
        <w:ind w:firstLine="567"/>
        <w:textAlignment w:val="auto"/>
        <w:rPr>
          <w:rFonts w:hint="default" w:ascii="Times New Roman" w:hAnsi="Times New Roman" w:eastAsia="仿宋_GB2312" w:cs="Times New Roman"/>
          <w:color w:val="000000" w:themeColor="text1"/>
          <w:sz w:val="32"/>
          <w:szCs w:val="32"/>
          <w:u w:val="single"/>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建设单位（盖章）：</w:t>
      </w:r>
      <w:r>
        <w:rPr>
          <w:rFonts w:hint="default" w:ascii="Times New Roman" w:hAnsi="Times New Roman" w:eastAsia="仿宋_GB2312" w:cs="Times New Roman"/>
          <w:color w:val="000000" w:themeColor="text1"/>
          <w:sz w:val="32"/>
          <w:szCs w:val="32"/>
          <w:u w:val="single"/>
          <w14:textFill>
            <w14:solidFill>
              <w14:schemeClr w14:val="tx1"/>
            </w14:solidFill>
          </w14:textFill>
        </w:rPr>
        <w:t>国能邵阳县新能源有限公司</w:t>
      </w:r>
    </w:p>
    <w:p>
      <w:pPr>
        <w:keepNext w:val="0"/>
        <w:keepLines w:val="0"/>
        <w:pageBreakBefore w:val="0"/>
        <w:widowControl w:val="0"/>
        <w:kinsoku/>
        <w:wordWrap/>
        <w:overflowPunct/>
        <w:topLinePunct w:val="0"/>
        <w:autoSpaceDE/>
        <w:autoSpaceDN/>
        <w:bidi w:val="0"/>
        <w:spacing w:line="360" w:lineRule="auto"/>
        <w:ind w:firstLine="567"/>
        <w:textAlignment w:val="auto"/>
        <w:rPr>
          <w:rFonts w:hint="default" w:ascii="Times New Roman" w:hAnsi="Times New Roman" w:eastAsia="仿宋" w:cs="Times New Roman"/>
          <w:color w:val="000000" w:themeColor="text1"/>
          <w:sz w:val="40"/>
          <w:szCs w:val="40"/>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编制日期：</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202</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u w:val="single"/>
          <w14:textFill>
            <w14:solidFill>
              <w14:schemeClr w14:val="tx1"/>
            </w14:solidFill>
          </w14:textFill>
        </w:rPr>
        <w:t>年</w:t>
      </w:r>
      <w:r>
        <w:rPr>
          <w:rFonts w:hint="eastAsia" w:eastAsia="仿宋_GB2312" w:cs="Times New Roman"/>
          <w:color w:val="000000" w:themeColor="text1"/>
          <w:sz w:val="32"/>
          <w:szCs w:val="32"/>
          <w:u w:val="single"/>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月 </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p>
    <w:bookmarkEnd w:id="4"/>
    <w:p>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pPr>
        <w:adjustRightInd w:val="0"/>
        <w:snapToGrid w:val="0"/>
        <w:spacing w:line="288" w:lineRule="auto"/>
        <w:ind w:firstLine="1800" w:firstLineChars="500"/>
        <w:jc w:val="both"/>
        <w:rPr>
          <w:rFonts w:hint="default" w:ascii="Times New Roman" w:hAnsi="Times New Roman" w:eastAsia="楷体_GB2312" w:cs="Times New Roman"/>
          <w:color w:val="000000" w:themeColor="text1"/>
          <w:sz w:val="36"/>
          <w:szCs w:val="36"/>
          <w14:textFill>
            <w14:solidFill>
              <w14:schemeClr w14:val="tx1"/>
            </w14:solidFill>
          </w14:textFill>
        </w:rPr>
      </w:pPr>
    </w:p>
    <w:p>
      <w:pPr>
        <w:adjustRightInd w:val="0"/>
        <w:snapToGrid w:val="0"/>
        <w:spacing w:line="288" w:lineRule="auto"/>
        <w:ind w:firstLine="1800" w:firstLineChars="500"/>
        <w:jc w:val="both"/>
        <w:rPr>
          <w:rFonts w:hint="default" w:ascii="Times New Roman" w:hAnsi="Times New Roman" w:eastAsia="楷体_GB2312" w:cs="Times New Roman"/>
          <w:color w:val="000000" w:themeColor="text1"/>
          <w:sz w:val="36"/>
          <w:szCs w:val="36"/>
          <w14:textFill>
            <w14:solidFill>
              <w14:schemeClr w14:val="tx1"/>
            </w14:solidFill>
          </w14:textFill>
        </w:rPr>
      </w:pPr>
    </w:p>
    <w:p>
      <w:pPr>
        <w:pStyle w:val="2"/>
        <w:rPr>
          <w:rFonts w:hint="default"/>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outlineLvl w:val="0"/>
        <w:rPr>
          <w:rFonts w:hint="default" w:ascii="Times New Roman" w:hAnsi="Times New Roman" w:eastAsia="楷体_GB2312" w:cs="Times New Roman"/>
          <w:color w:val="000000" w:themeColor="text1"/>
          <w:sz w:val="36"/>
          <w:szCs w:val="36"/>
          <w14:textFill>
            <w14:solidFill>
              <w14:schemeClr w14:val="tx1"/>
            </w14:solidFill>
          </w14:textFill>
        </w:rPr>
      </w:pPr>
      <w:bookmarkStart w:id="5" w:name="_Toc25121"/>
      <w:bookmarkStart w:id="6" w:name="_Toc1910"/>
      <w:bookmarkStart w:id="7" w:name="_Toc22055"/>
      <w:r>
        <w:rPr>
          <w:rFonts w:hint="default" w:ascii="Times New Roman" w:hAnsi="Times New Roman" w:eastAsia="楷体_GB2312" w:cs="Times New Roman"/>
          <w:color w:val="000000" w:themeColor="text1"/>
          <w:sz w:val="36"/>
          <w:szCs w:val="36"/>
          <w14:textFill>
            <w14:solidFill>
              <w14:schemeClr w14:val="tx1"/>
            </w14:solidFill>
          </w14:textFill>
        </w:rPr>
        <w:t>中华人民共和国生态环境部制</w:t>
      </w:r>
      <w:bookmarkEnd w:id="5"/>
      <w:bookmarkEnd w:id="6"/>
      <w:bookmarkEnd w:id="7"/>
    </w:p>
    <w:p>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NumType w:start="21"/>
          <w:cols w:space="720" w:num="1"/>
          <w:docGrid w:linePitch="312" w:charSpace="0"/>
        </w:sectPr>
      </w:pPr>
    </w:p>
    <w:p>
      <w:pPr>
        <w:pStyle w:val="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000000" w:themeColor="text1"/>
          <w14:textFill>
            <w14:solidFill>
              <w14:schemeClr w14:val="tx1"/>
            </w14:solidFill>
          </w14:textFill>
        </w:rPr>
        <w:sectPr>
          <w:pgSz w:w="11906" w:h="16838"/>
          <w:pgMar w:top="1701" w:right="1531" w:bottom="1701" w:left="1531" w:header="851" w:footer="1077" w:gutter="0"/>
          <w:pgNumType w:start="21"/>
          <w:cols w:space="720" w:num="1"/>
          <w:docGrid w:linePitch="312" w:charSpace="0"/>
        </w:sectPr>
      </w:pPr>
      <w:r>
        <w:rPr>
          <w:color w:val="000000" w:themeColor="text1"/>
          <w14:textFill>
            <w14:solidFill>
              <w14:schemeClr w14:val="tx1"/>
            </w14:solidFill>
          </w14:textFill>
        </w:rPr>
        <w:drawing>
          <wp:inline distT="0" distB="0" distL="114300" distR="114300">
            <wp:extent cx="5605145" cy="7927975"/>
            <wp:effectExtent l="0" t="0" r="14605"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5605145" cy="7927975"/>
                    </a:xfrm>
                    <a:prstGeom prst="rect">
                      <a:avLst/>
                    </a:prstGeom>
                    <a:noFill/>
                    <a:ln>
                      <a:noFill/>
                    </a:ln>
                  </pic:spPr>
                </pic:pic>
              </a:graphicData>
            </a:graphic>
          </wp:inline>
        </w:drawing>
      </w:r>
    </w:p>
    <w:sdt>
      <w:sdtP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id w:val="147453581"/>
        <w15:color w:val="DBDBDB"/>
        <w:docPartObj>
          <w:docPartGallery w:val="Table of Contents"/>
          <w:docPartUnique/>
        </w:docPartObj>
      </w:sdtPr>
      <w:sdtEndP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sdtEndPr>
      <w:sdtContent>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目录</w:t>
          </w:r>
        </w:p>
        <w:p>
          <w:pPr>
            <w:pStyle w:val="13"/>
            <w:keepNext w:val="0"/>
            <w:keepLines w:val="0"/>
            <w:pageBreakBefore w:val="0"/>
            <w:widowControl w:val="0"/>
            <w:tabs>
              <w:tab w:val="right" w:leader="dot" w:pos="873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TOC \o "1-2" \h \u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HYPERLINK \l _Toc14096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bCs/>
              <w:snapToGrid w:val="0"/>
              <w:color w:val="000000" w:themeColor="text1"/>
              <w:sz w:val="24"/>
              <w:szCs w:val="24"/>
              <w14:textFill>
                <w14:solidFill>
                  <w14:schemeClr w14:val="tx1"/>
                </w14:solidFill>
              </w14:textFill>
            </w:rPr>
            <w:t>一、建设项目基本情况</w:t>
          </w:r>
          <w:r>
            <w:rPr>
              <w:rFonts w:hint="default" w:ascii="Times New Roman" w:hAnsi="Times New Roman" w:eastAsia="宋体" w:cs="Times New Roman"/>
              <w:b/>
              <w:bCs/>
              <w:color w:val="000000" w:themeColor="text1"/>
              <w:sz w:val="24"/>
              <w:szCs w:val="24"/>
              <w14:textFill>
                <w14:solidFill>
                  <w14:schemeClr w14:val="tx1"/>
                </w14:solidFill>
              </w14:textFill>
            </w:rPr>
            <w:tab/>
          </w: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PAGEREF _Toc14096 \h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szCs w:val="24"/>
              <w14:textFill>
                <w14:solidFill>
                  <w14:schemeClr w14:val="tx1"/>
                </w14:solidFill>
              </w14:textFill>
            </w:rPr>
            <w:t>1</w:t>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p>
        <w:p>
          <w:pPr>
            <w:pStyle w:val="13"/>
            <w:keepNext w:val="0"/>
            <w:keepLines w:val="0"/>
            <w:pageBreakBefore w:val="0"/>
            <w:widowControl w:val="0"/>
            <w:tabs>
              <w:tab w:val="right" w:leader="dot" w:pos="873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HYPERLINK \l _Toc4210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bCs/>
              <w:snapToGrid w:val="0"/>
              <w:color w:val="000000" w:themeColor="text1"/>
              <w:sz w:val="24"/>
              <w:szCs w:val="24"/>
              <w14:textFill>
                <w14:solidFill>
                  <w14:schemeClr w14:val="tx1"/>
                </w14:solidFill>
              </w14:textFill>
            </w:rPr>
            <w:t>二、建设内容</w:t>
          </w:r>
          <w:r>
            <w:rPr>
              <w:rFonts w:hint="default" w:ascii="Times New Roman" w:hAnsi="Times New Roman" w:eastAsia="宋体" w:cs="Times New Roman"/>
              <w:b/>
              <w:bCs/>
              <w:color w:val="000000" w:themeColor="text1"/>
              <w:sz w:val="24"/>
              <w:szCs w:val="24"/>
              <w14:textFill>
                <w14:solidFill>
                  <w14:schemeClr w14:val="tx1"/>
                </w14:solidFill>
              </w14:textFill>
            </w:rPr>
            <w:tab/>
          </w: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PAGEREF _Toc4210 \h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szCs w:val="24"/>
              <w14:textFill>
                <w14:solidFill>
                  <w14:schemeClr w14:val="tx1"/>
                </w14:solidFill>
              </w14:textFill>
            </w:rPr>
            <w:t>10</w:t>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p>
        <w:p>
          <w:pPr>
            <w:pStyle w:val="13"/>
            <w:keepNext w:val="0"/>
            <w:keepLines w:val="0"/>
            <w:pageBreakBefore w:val="0"/>
            <w:widowControl w:val="0"/>
            <w:tabs>
              <w:tab w:val="right" w:leader="dot" w:pos="873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HYPERLINK \l _Toc12251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bCs/>
              <w:snapToGrid w:val="0"/>
              <w:color w:val="000000" w:themeColor="text1"/>
              <w:sz w:val="24"/>
              <w:szCs w:val="24"/>
              <w14:textFill>
                <w14:solidFill>
                  <w14:schemeClr w14:val="tx1"/>
                </w14:solidFill>
              </w14:textFill>
            </w:rPr>
            <w:t>三、生态环境现状、保护目标及评价标准</w:t>
          </w:r>
          <w:r>
            <w:rPr>
              <w:rFonts w:hint="default" w:ascii="Times New Roman" w:hAnsi="Times New Roman" w:eastAsia="宋体" w:cs="Times New Roman"/>
              <w:b/>
              <w:bCs/>
              <w:color w:val="000000" w:themeColor="text1"/>
              <w:sz w:val="24"/>
              <w:szCs w:val="24"/>
              <w14:textFill>
                <w14:solidFill>
                  <w14:schemeClr w14:val="tx1"/>
                </w14:solidFill>
              </w14:textFill>
            </w:rPr>
            <w:tab/>
          </w: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PAGEREF _Toc12251 \h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szCs w:val="24"/>
              <w14:textFill>
                <w14:solidFill>
                  <w14:schemeClr w14:val="tx1"/>
                </w14:solidFill>
              </w14:textFill>
            </w:rPr>
            <w:t>18</w:t>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p>
        <w:p>
          <w:pPr>
            <w:pStyle w:val="13"/>
            <w:keepNext w:val="0"/>
            <w:keepLines w:val="0"/>
            <w:pageBreakBefore w:val="0"/>
            <w:widowControl w:val="0"/>
            <w:tabs>
              <w:tab w:val="right" w:leader="dot" w:pos="873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HYPERLINK \l _Toc27875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bCs/>
              <w:snapToGrid w:val="0"/>
              <w:color w:val="000000" w:themeColor="text1"/>
              <w:sz w:val="24"/>
              <w:szCs w:val="24"/>
              <w14:textFill>
                <w14:solidFill>
                  <w14:schemeClr w14:val="tx1"/>
                </w14:solidFill>
              </w14:textFill>
            </w:rPr>
            <w:t>四、生态环境影响分析</w:t>
          </w:r>
          <w:r>
            <w:rPr>
              <w:rFonts w:hint="default" w:ascii="Times New Roman" w:hAnsi="Times New Roman" w:eastAsia="宋体" w:cs="Times New Roman"/>
              <w:b/>
              <w:bCs/>
              <w:color w:val="000000" w:themeColor="text1"/>
              <w:sz w:val="24"/>
              <w:szCs w:val="24"/>
              <w14:textFill>
                <w14:solidFill>
                  <w14:schemeClr w14:val="tx1"/>
                </w14:solidFill>
              </w14:textFill>
            </w:rPr>
            <w:tab/>
          </w: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PAGEREF _Toc27875 \h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szCs w:val="24"/>
              <w14:textFill>
                <w14:solidFill>
                  <w14:schemeClr w14:val="tx1"/>
                </w14:solidFill>
              </w14:textFill>
            </w:rPr>
            <w:t>25</w:t>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p>
        <w:p>
          <w:pPr>
            <w:pStyle w:val="13"/>
            <w:keepNext w:val="0"/>
            <w:keepLines w:val="0"/>
            <w:pageBreakBefore w:val="0"/>
            <w:widowControl w:val="0"/>
            <w:tabs>
              <w:tab w:val="right" w:leader="dot" w:pos="873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HYPERLINK \l _Toc18994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bCs/>
              <w:snapToGrid w:val="0"/>
              <w:color w:val="000000" w:themeColor="text1"/>
              <w:sz w:val="24"/>
              <w:szCs w:val="24"/>
              <w14:textFill>
                <w14:solidFill>
                  <w14:schemeClr w14:val="tx1"/>
                </w14:solidFill>
              </w14:textFill>
            </w:rPr>
            <w:t>五、主要生态环境保护措施</w:t>
          </w:r>
          <w:r>
            <w:rPr>
              <w:rFonts w:hint="default" w:ascii="Times New Roman" w:hAnsi="Times New Roman" w:eastAsia="宋体" w:cs="Times New Roman"/>
              <w:b/>
              <w:bCs/>
              <w:color w:val="000000" w:themeColor="text1"/>
              <w:sz w:val="24"/>
              <w:szCs w:val="24"/>
              <w14:textFill>
                <w14:solidFill>
                  <w14:schemeClr w14:val="tx1"/>
                </w14:solidFill>
              </w14:textFill>
            </w:rPr>
            <w:tab/>
          </w: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PAGEREF _Toc18994 \h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szCs w:val="24"/>
              <w14:textFill>
                <w14:solidFill>
                  <w14:schemeClr w14:val="tx1"/>
                </w14:solidFill>
              </w14:textFill>
            </w:rPr>
            <w:t>38</w:t>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p>
        <w:p>
          <w:pPr>
            <w:pStyle w:val="13"/>
            <w:keepNext w:val="0"/>
            <w:keepLines w:val="0"/>
            <w:pageBreakBefore w:val="0"/>
            <w:widowControl w:val="0"/>
            <w:tabs>
              <w:tab w:val="right" w:leader="dot" w:pos="873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HYPERLINK \l _Toc112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bCs/>
              <w:snapToGrid w:val="0"/>
              <w:color w:val="000000" w:themeColor="text1"/>
              <w:sz w:val="24"/>
              <w:szCs w:val="24"/>
              <w14:textFill>
                <w14:solidFill>
                  <w14:schemeClr w14:val="tx1"/>
                </w14:solidFill>
              </w14:textFill>
            </w:rPr>
            <w:t>六、生态环境保护措施监督检查清单</w:t>
          </w:r>
          <w:r>
            <w:rPr>
              <w:rFonts w:hint="default" w:ascii="Times New Roman" w:hAnsi="Times New Roman" w:eastAsia="宋体" w:cs="Times New Roman"/>
              <w:b/>
              <w:bCs/>
              <w:color w:val="000000" w:themeColor="text1"/>
              <w:sz w:val="24"/>
              <w:szCs w:val="24"/>
              <w14:textFill>
                <w14:solidFill>
                  <w14:schemeClr w14:val="tx1"/>
                </w14:solidFill>
              </w14:textFill>
            </w:rPr>
            <w:tab/>
          </w: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PAGEREF _Toc112 \h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szCs w:val="24"/>
              <w14:textFill>
                <w14:solidFill>
                  <w14:schemeClr w14:val="tx1"/>
                </w14:solidFill>
              </w14:textFill>
            </w:rPr>
            <w:t>47</w:t>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p>
        <w:p>
          <w:pPr>
            <w:pStyle w:val="13"/>
            <w:keepNext w:val="0"/>
            <w:keepLines w:val="0"/>
            <w:pageBreakBefore w:val="0"/>
            <w:widowControl w:val="0"/>
            <w:tabs>
              <w:tab w:val="right" w:leader="dot" w:pos="873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HYPERLINK \l _Toc20267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bCs/>
              <w:snapToGrid w:val="0"/>
              <w:color w:val="000000" w:themeColor="text1"/>
              <w:sz w:val="24"/>
              <w:szCs w:val="24"/>
              <w14:textFill>
                <w14:solidFill>
                  <w14:schemeClr w14:val="tx1"/>
                </w14:solidFill>
              </w14:textFill>
            </w:rPr>
            <w:t>七、结论</w:t>
          </w:r>
          <w:r>
            <w:rPr>
              <w:rFonts w:hint="default" w:ascii="Times New Roman" w:hAnsi="Times New Roman" w:eastAsia="宋体" w:cs="Times New Roman"/>
              <w:b/>
              <w:bCs/>
              <w:color w:val="000000" w:themeColor="text1"/>
              <w:sz w:val="24"/>
              <w:szCs w:val="24"/>
              <w14:textFill>
                <w14:solidFill>
                  <w14:schemeClr w14:val="tx1"/>
                </w14:solidFill>
              </w14:textFill>
            </w:rPr>
            <w:tab/>
          </w: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PAGEREF _Toc20267 \h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szCs w:val="24"/>
              <w14:textFill>
                <w14:solidFill>
                  <w14:schemeClr w14:val="tx1"/>
                </w14:solidFill>
              </w14:textFill>
            </w:rPr>
            <w:t>50</w:t>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p>
        <w:p>
          <w:pPr>
            <w:pStyle w:val="18"/>
            <w:keepNext w:val="0"/>
            <w:keepLines w:val="0"/>
            <w:pageBreakBefore w:val="0"/>
            <w:widowControl w:val="0"/>
            <w:tabs>
              <w:tab w:val="right" w:leader="dot" w:pos="8732"/>
              <w:tab w:val="clear" w:pos="1260"/>
              <w:tab w:val="clear" w:pos="86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_Toc15758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24"/>
              <w14:textFill>
                <w14:solidFill>
                  <w14:schemeClr w14:val="tx1"/>
                </w14:solidFill>
              </w14:textFill>
            </w:rPr>
            <w:t>电磁环境影响专题评价</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_Toc15758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51</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13"/>
            <w:keepNext w:val="0"/>
            <w:keepLines w:val="0"/>
            <w:pageBreakBefore w:val="0"/>
            <w:widowControl w:val="0"/>
            <w:tabs>
              <w:tab w:val="right" w:leader="dot" w:pos="873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_Toc26772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1前言</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_Toc26772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51</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13"/>
            <w:keepNext w:val="0"/>
            <w:keepLines w:val="0"/>
            <w:pageBreakBefore w:val="0"/>
            <w:widowControl w:val="0"/>
            <w:tabs>
              <w:tab w:val="right" w:leader="dot" w:pos="873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_Toc24995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2总则</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_Toc24995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51</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18"/>
            <w:keepNext w:val="0"/>
            <w:keepLines w:val="0"/>
            <w:pageBreakBefore w:val="0"/>
            <w:widowControl w:val="0"/>
            <w:tabs>
              <w:tab w:val="right" w:leader="dot" w:pos="8732"/>
              <w:tab w:val="clear" w:pos="1260"/>
              <w:tab w:val="clear" w:pos="86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_Toc12801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2.1评价因子</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_Toc12801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51</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18"/>
            <w:keepNext w:val="0"/>
            <w:keepLines w:val="0"/>
            <w:pageBreakBefore w:val="0"/>
            <w:widowControl w:val="0"/>
            <w:tabs>
              <w:tab w:val="right" w:leader="dot" w:pos="8732"/>
              <w:tab w:val="clear" w:pos="1260"/>
              <w:tab w:val="clear" w:pos="86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_Toc20599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2.2评价等级</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_Toc20599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51</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18"/>
            <w:keepNext w:val="0"/>
            <w:keepLines w:val="0"/>
            <w:pageBreakBefore w:val="0"/>
            <w:widowControl w:val="0"/>
            <w:tabs>
              <w:tab w:val="right" w:leader="dot" w:pos="8732"/>
              <w:tab w:val="clear" w:pos="1260"/>
              <w:tab w:val="clear" w:pos="86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_Toc16343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2.3评价范围</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_Toc16343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51</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18"/>
            <w:keepNext w:val="0"/>
            <w:keepLines w:val="0"/>
            <w:pageBreakBefore w:val="0"/>
            <w:widowControl w:val="0"/>
            <w:tabs>
              <w:tab w:val="right" w:leader="dot" w:pos="8732"/>
              <w:tab w:val="clear" w:pos="1260"/>
              <w:tab w:val="clear" w:pos="86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_Toc25890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2.4评价标准</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_Toc25890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51</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18"/>
            <w:keepNext w:val="0"/>
            <w:keepLines w:val="0"/>
            <w:pageBreakBefore w:val="0"/>
            <w:widowControl w:val="0"/>
            <w:tabs>
              <w:tab w:val="right" w:leader="dot" w:pos="8732"/>
              <w:tab w:val="clear" w:pos="1260"/>
              <w:tab w:val="clear" w:pos="86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_Toc24556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2.5环境敏感目标</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_Toc24556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51</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13"/>
            <w:keepNext w:val="0"/>
            <w:keepLines w:val="0"/>
            <w:pageBreakBefore w:val="0"/>
            <w:widowControl w:val="0"/>
            <w:tabs>
              <w:tab w:val="right" w:leader="dot" w:pos="873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_Toc8381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3电磁环境质量现状监测与评价</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_Toc8381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51</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18"/>
            <w:keepNext w:val="0"/>
            <w:keepLines w:val="0"/>
            <w:pageBreakBefore w:val="0"/>
            <w:widowControl w:val="0"/>
            <w:tabs>
              <w:tab w:val="right" w:leader="dot" w:pos="8732"/>
              <w:tab w:val="clear" w:pos="1260"/>
              <w:tab w:val="clear" w:pos="86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_Toc14121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3.1电磁环境质量现状监测</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_Toc14121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51</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18"/>
            <w:keepNext w:val="0"/>
            <w:keepLines w:val="0"/>
            <w:pageBreakBefore w:val="0"/>
            <w:widowControl w:val="0"/>
            <w:tabs>
              <w:tab w:val="right" w:leader="dot" w:pos="8732"/>
              <w:tab w:val="clear" w:pos="1260"/>
              <w:tab w:val="clear" w:pos="86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_Toc25592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3.2监测结果与评价</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_Toc25592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52</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13"/>
            <w:keepNext w:val="0"/>
            <w:keepLines w:val="0"/>
            <w:pageBreakBefore w:val="0"/>
            <w:widowControl w:val="0"/>
            <w:tabs>
              <w:tab w:val="right" w:leader="dot" w:pos="873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_Toc23874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4升压站电磁环境影响预测与评价</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_Toc23874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53</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18"/>
            <w:keepNext w:val="0"/>
            <w:keepLines w:val="0"/>
            <w:pageBreakBefore w:val="0"/>
            <w:widowControl w:val="0"/>
            <w:tabs>
              <w:tab w:val="right" w:leader="dot" w:pos="8732"/>
              <w:tab w:val="clear" w:pos="1260"/>
              <w:tab w:val="clear" w:pos="86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_Toc17011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4.1评价方法</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_Toc17011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53</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18"/>
            <w:keepNext w:val="0"/>
            <w:keepLines w:val="0"/>
            <w:pageBreakBefore w:val="0"/>
            <w:widowControl w:val="0"/>
            <w:tabs>
              <w:tab w:val="right" w:leader="dot" w:pos="8732"/>
              <w:tab w:val="clear" w:pos="1260"/>
              <w:tab w:val="clear" w:pos="86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_Toc28456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4.2类比对象</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_Toc28456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53</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18"/>
            <w:keepNext w:val="0"/>
            <w:keepLines w:val="0"/>
            <w:pageBreakBefore w:val="0"/>
            <w:widowControl w:val="0"/>
            <w:tabs>
              <w:tab w:val="right" w:leader="dot" w:pos="8732"/>
              <w:tab w:val="clear" w:pos="1260"/>
              <w:tab w:val="clear" w:pos="86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_Toc9695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4.3类比监测情况</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_Toc9695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54</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18"/>
            <w:keepNext w:val="0"/>
            <w:keepLines w:val="0"/>
            <w:pageBreakBefore w:val="0"/>
            <w:widowControl w:val="0"/>
            <w:tabs>
              <w:tab w:val="right" w:leader="dot" w:pos="8732"/>
              <w:tab w:val="clear" w:pos="1260"/>
              <w:tab w:val="clear" w:pos="86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_Toc5671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4.4类比监测结果及评价</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_Toc5671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55</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13"/>
            <w:keepNext w:val="0"/>
            <w:keepLines w:val="0"/>
            <w:pageBreakBefore w:val="0"/>
            <w:widowControl w:val="0"/>
            <w:tabs>
              <w:tab w:val="right" w:leader="dot" w:pos="873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_Toc26421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 电磁环境保护措施</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_Toc26421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56</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13"/>
            <w:keepNext w:val="0"/>
            <w:keepLines w:val="0"/>
            <w:pageBreakBefore w:val="0"/>
            <w:widowControl w:val="0"/>
            <w:tabs>
              <w:tab w:val="right" w:leader="dot" w:pos="873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_Toc12491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 结论</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_Toc12491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57</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end"/>
          </w:r>
        </w:p>
      </w:sdtContent>
    </w:sdt>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footerReference r:id="rId5" w:type="default"/>
          <w:pgSz w:w="11906" w:h="16838"/>
          <w:pgMar w:top="1440" w:right="1587" w:bottom="1440" w:left="1587" w:header="851" w:footer="1077" w:gutter="0"/>
          <w:pgNumType w:fmt="decimal" w:start="1"/>
          <w:cols w:space="720" w:num="1"/>
          <w:docGrid w:linePitch="312" w:charSpace="0"/>
        </w:sectPr>
      </w:pP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default" w:ascii="Times New Roman" w:hAnsi="Times New Roman" w:eastAsia="宋体" w:cs="Times New Roman"/>
          <w:b/>
          <w:bCs/>
          <w:snapToGrid w:val="0"/>
          <w:color w:val="000000" w:themeColor="text1"/>
          <w:kern w:val="2"/>
          <w:sz w:val="24"/>
          <w:szCs w:val="24"/>
          <w:lang w:val="en-US" w:eastAsia="zh-CN" w:bidi="ar-SA"/>
          <w14:textFill>
            <w14:solidFill>
              <w14:schemeClr w14:val="tx1"/>
            </w14:solidFill>
          </w14:textFill>
        </w:rPr>
      </w:pPr>
      <w:bookmarkStart w:id="8" w:name="_Toc26269"/>
      <w:r>
        <w:rPr>
          <w:rFonts w:hint="default" w:ascii="Times New Roman" w:hAnsi="Times New Roman" w:eastAsia="宋体" w:cs="Times New Roman"/>
          <w:b/>
          <w:bCs/>
          <w:snapToGrid w:val="0"/>
          <w:color w:val="000000" w:themeColor="text1"/>
          <w:kern w:val="2"/>
          <w:sz w:val="24"/>
          <w:szCs w:val="24"/>
          <w:lang w:val="en-US" w:eastAsia="zh-CN" w:bidi="ar-SA"/>
          <w14:textFill>
            <w14:solidFill>
              <w14:schemeClr w14:val="tx1"/>
            </w14:solidFill>
          </w14:textFill>
        </w:rPr>
        <w:t>附图</w:t>
      </w:r>
      <w:bookmarkEnd w:id="8"/>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cs="Times New Roman"/>
          <w:color w:val="000000" w:themeColor="text1"/>
          <w:sz w:val="24"/>
          <w:szCs w:val="32"/>
          <w:lang w:val="en-US" w:eastAsia="zh-CN"/>
          <w14:textFill>
            <w14:solidFill>
              <w14:schemeClr w14:val="tx1"/>
            </w14:solidFill>
          </w14:textFill>
        </w:rPr>
        <w:t>附图1：项目地理位置图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cs="Times New Roman"/>
          <w:color w:val="000000" w:themeColor="text1"/>
          <w:sz w:val="24"/>
          <w:szCs w:val="32"/>
          <w:lang w:val="en-US" w:eastAsia="zh-CN"/>
          <w14:textFill>
            <w14:solidFill>
              <w14:schemeClr w14:val="tx1"/>
            </w14:solidFill>
          </w14:textFill>
        </w:rPr>
        <w:t>附图2：项目平面布置图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cs="Times New Roman"/>
          <w:color w:val="000000" w:themeColor="text1"/>
          <w:sz w:val="24"/>
          <w:szCs w:val="32"/>
          <w:lang w:val="en-US" w:eastAsia="zh-CN"/>
          <w14:textFill>
            <w14:solidFill>
              <w14:schemeClr w14:val="tx1"/>
            </w14:solidFill>
          </w14:textFill>
        </w:rPr>
        <w:t>附图3：项目所在区域地表水系图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cs="Times New Roman"/>
          <w:color w:val="000000" w:themeColor="text1"/>
          <w:sz w:val="24"/>
          <w:szCs w:val="32"/>
          <w:lang w:val="en-US" w:eastAsia="zh-CN"/>
          <w14:textFill>
            <w14:solidFill>
              <w14:schemeClr w14:val="tx1"/>
            </w14:solidFill>
          </w14:textFill>
        </w:rPr>
        <w:t>附图4：项目监测布点图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cs="Times New Roman"/>
          <w:color w:val="000000" w:themeColor="text1"/>
          <w:sz w:val="24"/>
          <w:szCs w:val="32"/>
          <w:lang w:val="en-US" w:eastAsia="zh-CN"/>
          <w14:textFill>
            <w14:solidFill>
              <w14:schemeClr w14:val="tx1"/>
            </w14:solidFill>
          </w14:textFill>
        </w:rPr>
        <w:t>附图5：项目与饮用水水源保护区关系图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cs="Times New Roman"/>
          <w:color w:val="000000" w:themeColor="text1"/>
          <w:sz w:val="24"/>
          <w:szCs w:val="32"/>
          <w:lang w:val="en-US" w:eastAsia="zh-CN"/>
          <w14:textFill>
            <w14:solidFill>
              <w14:schemeClr w14:val="tx1"/>
            </w14:solidFill>
          </w14:textFill>
        </w:rPr>
        <w:t>附图</w:t>
      </w:r>
      <w:r>
        <w:rPr>
          <w:rFonts w:hint="eastAsia" w:cs="Times New Roman"/>
          <w:color w:val="000000" w:themeColor="text1"/>
          <w:sz w:val="24"/>
          <w:szCs w:val="32"/>
          <w:lang w:val="en-US" w:eastAsia="zh-CN"/>
          <w14:textFill>
            <w14:solidFill>
              <w14:schemeClr w14:val="tx1"/>
            </w14:solidFill>
          </w14:textFill>
        </w:rPr>
        <w:t>6</w:t>
      </w:r>
      <w:r>
        <w:rPr>
          <w:rFonts w:hint="default" w:ascii="Times New Roman" w:hAnsi="Times New Roman" w:cs="Times New Roman"/>
          <w:color w:val="000000" w:themeColor="text1"/>
          <w:sz w:val="24"/>
          <w:szCs w:val="32"/>
          <w:lang w:val="en-US" w:eastAsia="zh-CN"/>
          <w14:textFill>
            <w14:solidFill>
              <w14:schemeClr w14:val="tx1"/>
            </w14:solidFill>
          </w14:textFill>
        </w:rPr>
        <w:t>：项目区土地利用现状图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cs="Times New Roman"/>
          <w:color w:val="000000" w:themeColor="text1"/>
          <w:sz w:val="24"/>
          <w:szCs w:val="32"/>
          <w:lang w:val="en-US" w:eastAsia="zh-CN"/>
          <w14:textFill>
            <w14:solidFill>
              <w14:schemeClr w14:val="tx1"/>
            </w14:solidFill>
          </w14:textFill>
        </w:rPr>
        <w:t>附图</w:t>
      </w:r>
      <w:r>
        <w:rPr>
          <w:rFonts w:hint="eastAsia" w:cs="Times New Roman"/>
          <w:color w:val="000000" w:themeColor="text1"/>
          <w:sz w:val="24"/>
          <w:szCs w:val="32"/>
          <w:lang w:val="en-US" w:eastAsia="zh-CN"/>
          <w14:textFill>
            <w14:solidFill>
              <w14:schemeClr w14:val="tx1"/>
            </w14:solidFill>
          </w14:textFill>
        </w:rPr>
        <w:t>7</w:t>
      </w:r>
      <w:r>
        <w:rPr>
          <w:rFonts w:hint="default" w:ascii="Times New Roman" w:hAnsi="Times New Roman" w:cs="Times New Roman"/>
          <w:color w:val="000000" w:themeColor="text1"/>
          <w:sz w:val="24"/>
          <w:szCs w:val="32"/>
          <w:lang w:val="en-US" w:eastAsia="zh-CN"/>
          <w14:textFill>
            <w14:solidFill>
              <w14:schemeClr w14:val="tx1"/>
            </w14:solidFill>
          </w14:textFill>
        </w:rPr>
        <w:t>：项目与生态保护红线、基本农田分布位置示意图</w:t>
      </w: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default" w:ascii="Times New Roman" w:hAnsi="Times New Roman" w:eastAsia="宋体" w:cs="Times New Roman"/>
          <w:b/>
          <w:bCs/>
          <w:snapToGrid w:val="0"/>
          <w:color w:val="000000" w:themeColor="text1"/>
          <w:kern w:val="2"/>
          <w:sz w:val="24"/>
          <w:szCs w:val="24"/>
          <w:lang w:val="en-US" w:eastAsia="zh-CN" w:bidi="ar-SA"/>
          <w14:textFill>
            <w14:solidFill>
              <w14:schemeClr w14:val="tx1"/>
            </w14:solidFill>
          </w14:textFill>
        </w:rPr>
      </w:pPr>
      <w:bookmarkStart w:id="9" w:name="_Toc16571"/>
      <w:r>
        <w:rPr>
          <w:rFonts w:hint="default" w:ascii="Times New Roman" w:hAnsi="Times New Roman" w:eastAsia="宋体" w:cs="Times New Roman"/>
          <w:b/>
          <w:bCs/>
          <w:snapToGrid w:val="0"/>
          <w:color w:val="000000" w:themeColor="text1"/>
          <w:kern w:val="2"/>
          <w:sz w:val="24"/>
          <w:szCs w:val="24"/>
          <w:lang w:val="en-US" w:eastAsia="zh-CN" w:bidi="ar-SA"/>
          <w14:textFill>
            <w14:solidFill>
              <w14:schemeClr w14:val="tx1"/>
            </w14:solidFill>
          </w14:textFill>
        </w:rPr>
        <w:t>附件</w:t>
      </w:r>
      <w:bookmarkEnd w:id="9"/>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cs="Times New Roman"/>
          <w:color w:val="000000" w:themeColor="text1"/>
          <w:sz w:val="24"/>
          <w:szCs w:val="32"/>
          <w:lang w:val="en-US" w:eastAsia="zh-CN"/>
          <w14:textFill>
            <w14:solidFill>
              <w14:schemeClr w14:val="tx1"/>
            </w14:solidFill>
          </w14:textFill>
        </w:rPr>
        <w:t>附件1：环评委托书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cs="Times New Roman"/>
          <w:color w:val="000000" w:themeColor="text1"/>
          <w:sz w:val="24"/>
          <w:szCs w:val="32"/>
          <w:lang w:val="en-US" w:eastAsia="zh-CN"/>
          <w14:textFill>
            <w14:solidFill>
              <w14:schemeClr w14:val="tx1"/>
            </w14:solidFill>
          </w14:textFill>
        </w:rPr>
        <w:t>附件2：营业执照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cs="Times New Roman"/>
          <w:color w:val="000000" w:themeColor="text1"/>
          <w:sz w:val="24"/>
          <w:szCs w:val="32"/>
          <w:lang w:val="en-US" w:eastAsia="zh-CN"/>
          <w14:textFill>
            <w14:solidFill>
              <w14:schemeClr w14:val="tx1"/>
            </w14:solidFill>
          </w14:textFill>
        </w:rPr>
        <w:t>附件3：发改委备案证明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cs="Times New Roman"/>
          <w:color w:val="000000" w:themeColor="text1"/>
          <w:sz w:val="24"/>
          <w:szCs w:val="32"/>
          <w:lang w:val="en-US" w:eastAsia="zh-CN"/>
          <w14:textFill>
            <w14:solidFill>
              <w14:schemeClr w14:val="tx1"/>
            </w14:solidFill>
          </w14:textFill>
        </w:rPr>
        <w:t>附件4：邵阳县自然资源局关于项目初步选址的意见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cs="Times New Roman"/>
          <w:color w:val="000000" w:themeColor="text1"/>
          <w:sz w:val="24"/>
          <w:szCs w:val="32"/>
          <w:lang w:val="en-US" w:eastAsia="zh-CN"/>
          <w14:textFill>
            <w14:solidFill>
              <w14:schemeClr w14:val="tx1"/>
            </w14:solidFill>
          </w14:textFill>
        </w:rPr>
        <w:t>附件5：邵阳县林业局关于项目选址的意见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cs="Times New Roman"/>
          <w:color w:val="000000" w:themeColor="text1"/>
          <w:sz w:val="24"/>
          <w:szCs w:val="32"/>
          <w:lang w:val="en-US" w:eastAsia="zh-CN"/>
          <w14:textFill>
            <w14:solidFill>
              <w14:schemeClr w14:val="tx1"/>
            </w14:solidFill>
          </w14:textFill>
        </w:rPr>
        <w:t>附件6：邵阳市生态环境局邵阳县分局关于项目的审查意见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cs="Times New Roman"/>
          <w:color w:val="000000" w:themeColor="text1"/>
          <w:sz w:val="24"/>
          <w:szCs w:val="32"/>
          <w:lang w:val="en-US" w:eastAsia="zh-CN"/>
          <w14:textFill>
            <w14:solidFill>
              <w14:schemeClr w14:val="tx1"/>
            </w14:solidFill>
          </w14:textFill>
        </w:rPr>
        <w:t>附件7：邵阳县农业农村局关于项目初步选址的意见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cs="Times New Roman"/>
          <w:color w:val="000000" w:themeColor="text1"/>
          <w:sz w:val="24"/>
          <w:szCs w:val="32"/>
          <w:lang w:val="en-US" w:eastAsia="zh-CN"/>
          <w14:textFill>
            <w14:solidFill>
              <w14:schemeClr w14:val="tx1"/>
            </w14:solidFill>
          </w14:textFill>
        </w:rPr>
        <w:t>附件8：邵阳县水利局关于项目选址的意见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cs="Times New Roman"/>
          <w:color w:val="000000" w:themeColor="text1"/>
          <w:sz w:val="24"/>
          <w:szCs w:val="32"/>
          <w:lang w:val="en-US" w:eastAsia="zh-CN"/>
          <w14:textFill>
            <w14:solidFill>
              <w14:schemeClr w14:val="tx1"/>
            </w14:solidFill>
          </w14:textFill>
        </w:rPr>
        <w:t>附件9：中华人民解放军湖南省邵阳县人民武装部关于同意项目选址的意见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cs="Times New Roman"/>
          <w:color w:val="000000" w:themeColor="text1"/>
          <w:sz w:val="24"/>
          <w:szCs w:val="32"/>
          <w:lang w:val="en-US" w:eastAsia="zh-CN"/>
          <w14:textFill>
            <w14:solidFill>
              <w14:schemeClr w14:val="tx1"/>
            </w14:solidFill>
          </w14:textFill>
        </w:rPr>
        <w:t>附件10：邵阳县文化旅游广电体育局关于同意项目选址的意见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cs="Times New Roman"/>
          <w:color w:val="000000" w:themeColor="text1"/>
          <w:sz w:val="24"/>
          <w:szCs w:val="32"/>
          <w:lang w:val="en-US" w:eastAsia="zh-CN"/>
          <w14:textFill>
            <w14:solidFill>
              <w14:schemeClr w14:val="tx1"/>
            </w14:solidFill>
          </w14:textFill>
        </w:rPr>
        <w:t>附件11：环境质量现状监测报告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eastAsia" w:ascii="Times New Roman" w:hAnsi="Times New Roman" w:cs="Times New Roman"/>
          <w:color w:val="000000" w:themeColor="text1"/>
          <w:sz w:val="24"/>
          <w:szCs w:val="32"/>
          <w:u w:val="single"/>
          <w:lang w:val="en-US" w:eastAsia="zh-CN"/>
          <w14:textFill>
            <w14:solidFill>
              <w14:schemeClr w14:val="tx1"/>
            </w14:solidFill>
          </w14:textFill>
        </w:rPr>
        <w:t>附件12：类比检测报告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32"/>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u w:val="single"/>
          <w:lang w:val="en-US" w:eastAsia="zh-CN"/>
          <w14:textFill>
            <w14:solidFill>
              <w14:schemeClr w14:val="tx1"/>
            </w14:solidFill>
          </w14:textFill>
        </w:rPr>
        <w:t>附件1</w:t>
      </w:r>
      <w:r>
        <w:rPr>
          <w:rFonts w:hint="eastAsia" w:ascii="Times New Roman" w:hAnsi="Times New Roman" w:cs="Times New Roman"/>
          <w:color w:val="000000" w:themeColor="text1"/>
          <w:sz w:val="24"/>
          <w:szCs w:val="32"/>
          <w:u w:val="singl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u w:val="single"/>
          <w:lang w:val="en-US" w:eastAsia="zh-CN"/>
          <w14:textFill>
            <w14:solidFill>
              <w14:schemeClr w14:val="tx1"/>
            </w14:solidFill>
          </w14:textFill>
        </w:rPr>
        <w:t>：邵阳市人民政府办公室关于确定全市风电和集中式光伏项目投资主体的通知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u w:val="single"/>
          <w:lang w:val="en-US" w:eastAsia="zh-CN"/>
          <w14:textFill>
            <w14:solidFill>
              <w14:schemeClr w14:val="tx1"/>
            </w14:solidFill>
          </w14:textFill>
        </w:rPr>
        <w:t>附件1</w:t>
      </w:r>
      <w:r>
        <w:rPr>
          <w:rFonts w:hint="eastAsia" w:ascii="Times New Roman" w:hAnsi="Times New Roman" w:cs="Times New Roman"/>
          <w:color w:val="000000" w:themeColor="text1"/>
          <w:sz w:val="24"/>
          <w:szCs w:val="32"/>
          <w:u w:val="singl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32"/>
          <w:u w:val="single"/>
          <w:lang w:val="en-US" w:eastAsia="zh-CN"/>
          <w14:textFill>
            <w14:solidFill>
              <w14:schemeClr w14:val="tx1"/>
            </w14:solidFill>
          </w14:textFill>
        </w:rPr>
        <w:t>：关于国家能源集团宝庆发电有限公司三个集中式光伏项目投资主体的说明</w:t>
      </w:r>
      <w:r>
        <w:rPr>
          <w:rFonts w:hint="default" w:ascii="Times New Roman" w:hAnsi="Times New Roman" w:cs="Times New Roman"/>
          <w:color w:val="000000" w:themeColor="text1"/>
          <w:sz w:val="24"/>
          <w:szCs w:val="32"/>
          <w:u w:val="single"/>
          <w:lang w:val="en-US" w:eastAsia="zh-CN"/>
          <w14:textFill>
            <w14:solidFill>
              <w14:schemeClr w14:val="tx1"/>
            </w14:solidFill>
          </w14:textFill>
        </w:rPr>
        <w:t>附件1</w:t>
      </w:r>
      <w:r>
        <w:rPr>
          <w:rFonts w:hint="eastAsia" w:ascii="Times New Roman" w:hAnsi="Times New Roman" w:cs="Times New Roman"/>
          <w:color w:val="000000" w:themeColor="text1"/>
          <w:sz w:val="24"/>
          <w:szCs w:val="32"/>
          <w:u w:val="single"/>
          <w:lang w:val="en-US" w:eastAsia="zh-CN"/>
          <w14:textFill>
            <w14:solidFill>
              <w14:schemeClr w14:val="tx1"/>
            </w14:solidFill>
          </w14:textFill>
        </w:rPr>
        <w:t>5</w:t>
      </w:r>
      <w:r>
        <w:rPr>
          <w:rFonts w:hint="default" w:ascii="Times New Roman" w:hAnsi="Times New Roman" w:cs="Times New Roman"/>
          <w:color w:val="000000" w:themeColor="text1"/>
          <w:sz w:val="24"/>
          <w:szCs w:val="32"/>
          <w:u w:val="single"/>
          <w:lang w:val="en-US" w:eastAsia="zh-CN"/>
          <w14:textFill>
            <w14:solidFill>
              <w14:schemeClr w14:val="tx1"/>
            </w14:solidFill>
          </w14:textFill>
        </w:rPr>
        <w:t>：专家评审意见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default" w:ascii="Times New Roman" w:hAnsi="Times New Roman" w:cs="Times New Roman"/>
          <w:color w:val="000000" w:themeColor="text1"/>
          <w:sz w:val="24"/>
          <w:szCs w:val="32"/>
          <w:u w:val="single"/>
          <w:lang w:val="en-US" w:eastAsia="zh-CN"/>
          <w14:textFill>
            <w14:solidFill>
              <w14:schemeClr w14:val="tx1"/>
            </w14:solidFill>
          </w14:textFill>
        </w:rPr>
        <w:t>附件1</w:t>
      </w:r>
      <w:r>
        <w:rPr>
          <w:rFonts w:hint="eastAsia" w:ascii="Times New Roman" w:hAnsi="Times New Roman" w:cs="Times New Roman"/>
          <w:color w:val="000000" w:themeColor="text1"/>
          <w:sz w:val="24"/>
          <w:szCs w:val="32"/>
          <w:u w:val="single"/>
          <w:lang w:val="en-US" w:eastAsia="zh-CN"/>
          <w14:textFill>
            <w14:solidFill>
              <w14:schemeClr w14:val="tx1"/>
            </w14:solidFill>
          </w14:textFill>
        </w:rPr>
        <w:t>6</w:t>
      </w:r>
      <w:r>
        <w:rPr>
          <w:rFonts w:hint="default" w:ascii="Times New Roman" w:hAnsi="Times New Roman" w:cs="Times New Roman"/>
          <w:color w:val="000000" w:themeColor="text1"/>
          <w:sz w:val="24"/>
          <w:szCs w:val="32"/>
          <w:u w:val="single"/>
          <w:lang w:val="en-US" w:eastAsia="zh-CN"/>
          <w14:textFill>
            <w14:solidFill>
              <w14:schemeClr w14:val="tx1"/>
            </w14:solidFill>
          </w14:textFill>
        </w:rPr>
        <w:t>：专家签到表</w:t>
      </w: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default" w:ascii="Times New Roman" w:hAnsi="Times New Roman" w:eastAsia="宋体" w:cs="Times New Roman"/>
          <w:snapToGrid w:val="0"/>
          <w:color w:val="000000" w:themeColor="text1"/>
          <w:kern w:val="2"/>
          <w:sz w:val="24"/>
          <w:szCs w:val="24"/>
          <w:lang w:val="en-US" w:eastAsia="zh-CN" w:bidi="ar-SA"/>
          <w14:textFill>
            <w14:solidFill>
              <w14:schemeClr w14:val="tx1"/>
            </w14:solidFill>
          </w14:textFill>
        </w:rPr>
      </w:pP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default" w:ascii="Times New Roman" w:hAnsi="Times New Roman" w:eastAsia="宋体" w:cs="Times New Roman"/>
          <w:snapToGrid w:val="0"/>
          <w:color w:val="000000" w:themeColor="text1"/>
          <w:kern w:val="2"/>
          <w:sz w:val="24"/>
          <w:szCs w:val="24"/>
          <w:lang w:val="en-US" w:eastAsia="zh-CN" w:bidi="ar-SA"/>
          <w14:textFill>
            <w14:solidFill>
              <w14:schemeClr w14:val="tx1"/>
            </w14:solidFill>
          </w14:textFill>
        </w:rPr>
        <w:sectPr>
          <w:footerReference r:id="rId6" w:type="default"/>
          <w:pgSz w:w="11906" w:h="16838"/>
          <w:pgMar w:top="1440" w:right="1587" w:bottom="1440" w:left="1587" w:header="851" w:footer="1077" w:gutter="0"/>
          <w:pgNumType w:fmt="decimal" w:start="1"/>
          <w:cols w:space="720" w:num="1"/>
          <w:docGrid w:linePitch="312" w:charSpace="0"/>
        </w:sectPr>
      </w:pP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bookmarkStart w:id="10" w:name="_Toc14096"/>
      <w:r>
        <w:rPr>
          <w:rFonts w:hint="default" w:ascii="Times New Roman" w:hAnsi="Times New Roman" w:eastAsia="黑体" w:cs="Times New Roman"/>
          <w:snapToGrid w:val="0"/>
          <w:color w:val="000000" w:themeColor="text1"/>
          <w:sz w:val="30"/>
          <w:szCs w:val="30"/>
          <w14:textFill>
            <w14:solidFill>
              <w14:schemeClr w14:val="tx1"/>
            </w14:solidFill>
          </w14:textFill>
        </w:rPr>
        <w:t>一、建设项目基本情况</w:t>
      </w:r>
      <w:bookmarkEnd w:id="10"/>
    </w:p>
    <w:tbl>
      <w:tblPr>
        <w:tblStyle w:val="22"/>
        <w:tblW w:w="4995"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52"/>
        <w:gridCol w:w="2760"/>
        <w:gridCol w:w="1694"/>
        <w:gridCol w:w="27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2" w:hRule="atLeast"/>
        </w:trPr>
        <w:tc>
          <w:tcPr>
            <w:tcW w:w="88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建设项目名称</w:t>
            </w:r>
          </w:p>
        </w:tc>
        <w:tc>
          <w:tcPr>
            <w:tcW w:w="4112" w:type="pct"/>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邵阳县郦家坪光伏发电项目</w:t>
            </w:r>
            <w:r>
              <w:rPr>
                <w:rFonts w:hint="default" w:ascii="Times New Roman" w:hAnsi="Times New Roman" w:cs="Times New Roman"/>
                <w:color w:val="000000" w:themeColor="text1"/>
                <w:sz w:val="24"/>
                <w:szCs w:val="24"/>
                <w:lang w:val="en-US" w:eastAsia="zh-CN"/>
                <w14:textFill>
                  <w14:solidFill>
                    <w14:schemeClr w14:val="tx1"/>
                  </w14:solidFill>
                </w14:textFill>
              </w:rPr>
              <w:t>110KV升压站工程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88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项目代码</w:t>
            </w:r>
          </w:p>
        </w:tc>
        <w:tc>
          <w:tcPr>
            <w:tcW w:w="4112" w:type="pct"/>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2212-430000-04-01-495476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trPr>
        <w:tc>
          <w:tcPr>
            <w:tcW w:w="155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建设单位</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联系人</w:t>
            </w:r>
          </w:p>
        </w:tc>
        <w:tc>
          <w:tcPr>
            <w:tcW w:w="276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刘德忠</w:t>
            </w:r>
          </w:p>
        </w:tc>
        <w:tc>
          <w:tcPr>
            <w:tcW w:w="169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联系方式</w:t>
            </w:r>
          </w:p>
        </w:tc>
        <w:tc>
          <w:tcPr>
            <w:tcW w:w="274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18075938682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trPr>
        <w:tc>
          <w:tcPr>
            <w:tcW w:w="88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建设地点</w:t>
            </w:r>
          </w:p>
        </w:tc>
        <w:tc>
          <w:tcPr>
            <w:tcW w:w="4112" w:type="pct"/>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湖南</w:t>
            </w:r>
            <w:r>
              <w:rPr>
                <w:rFonts w:hint="default" w:ascii="Times New Roman" w:hAnsi="Times New Roman" w:cs="Times New Roman"/>
                <w:color w:val="000000" w:themeColor="text1"/>
                <w:sz w:val="24"/>
                <w:szCs w:val="24"/>
                <w:highlight w:val="none"/>
                <w:u w:val="none"/>
                <w14:textFill>
                  <w14:solidFill>
                    <w14:schemeClr w14:val="tx1"/>
                  </w14:solidFill>
                </w14:textFill>
              </w:rPr>
              <w:t>省</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邵阳</w:t>
            </w:r>
            <w:r>
              <w:rPr>
                <w:rFonts w:hint="default" w:ascii="Times New Roman" w:hAnsi="Times New Roman" w:cs="Times New Roman"/>
                <w:color w:val="000000" w:themeColor="text1"/>
                <w:sz w:val="24"/>
                <w:szCs w:val="24"/>
                <w:highlight w:val="none"/>
                <w:u w:val="none"/>
                <w14:textFill>
                  <w14:solidFill>
                    <w14:schemeClr w14:val="tx1"/>
                  </w14:solidFill>
                </w14:textFill>
              </w:rPr>
              <w:t>市</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邵阳</w:t>
            </w:r>
            <w:r>
              <w:rPr>
                <w:rFonts w:hint="default" w:ascii="Times New Roman" w:hAnsi="Times New Roman" w:cs="Times New Roman"/>
                <w:color w:val="000000" w:themeColor="text1"/>
                <w:sz w:val="24"/>
                <w:szCs w:val="24"/>
                <w:highlight w:val="none"/>
                <w:u w:val="none"/>
                <w14:textFill>
                  <w14:solidFill>
                    <w14:schemeClr w14:val="tx1"/>
                  </w14:solidFill>
                </w14:textFill>
              </w:rPr>
              <w:t>县</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郦家坪镇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5" w:hRule="atLeast"/>
        </w:trPr>
        <w:tc>
          <w:tcPr>
            <w:tcW w:w="88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地理坐标</w:t>
            </w:r>
          </w:p>
        </w:tc>
        <w:tc>
          <w:tcPr>
            <w:tcW w:w="4112" w:type="pct"/>
            <w:gridSpan w:val="3"/>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中心坐标为：北纬27°0′30.77</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″，东经111°38′12.85</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91" w:hRule="atLeast"/>
        </w:trPr>
        <w:tc>
          <w:tcPr>
            <w:tcW w:w="88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行业类别</w:t>
            </w:r>
          </w:p>
        </w:tc>
        <w:tc>
          <w:tcPr>
            <w:tcW w:w="157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五十五、核与辐射—161、输变电工程</w:t>
            </w:r>
          </w:p>
        </w:tc>
        <w:tc>
          <w:tcPr>
            <w:tcW w:w="96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用地（用海）面积（m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）/长度（km）</w:t>
            </w:r>
          </w:p>
        </w:tc>
        <w:tc>
          <w:tcPr>
            <w:tcW w:w="156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8000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85" w:hRule="atLeast"/>
        </w:trPr>
        <w:tc>
          <w:tcPr>
            <w:tcW w:w="88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建设性质</w:t>
            </w:r>
          </w:p>
        </w:tc>
        <w:tc>
          <w:tcPr>
            <w:tcW w:w="1577" w:type="pct"/>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新建（迁建）</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□改建</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□扩建</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□技术改造</w:t>
            </w:r>
          </w:p>
        </w:tc>
        <w:tc>
          <w:tcPr>
            <w:tcW w:w="96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申报情形</w:t>
            </w:r>
          </w:p>
        </w:tc>
        <w:tc>
          <w:tcPr>
            <w:tcW w:w="1566" w:type="pct"/>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首次申报项目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不予批准后再次申报项目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□超五年重新审核项目</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83" w:hRule="atLeast"/>
        </w:trPr>
        <w:tc>
          <w:tcPr>
            <w:tcW w:w="88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项目审批（核准/备案）部门</w:t>
            </w:r>
          </w:p>
        </w:tc>
        <w:tc>
          <w:tcPr>
            <w:tcW w:w="157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湖南省发展和改革委员会</w:t>
            </w:r>
          </w:p>
        </w:tc>
        <w:tc>
          <w:tcPr>
            <w:tcW w:w="96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备案）文号</w:t>
            </w:r>
          </w:p>
        </w:tc>
        <w:tc>
          <w:tcPr>
            <w:tcW w:w="156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8" w:hRule="atLeast"/>
        </w:trPr>
        <w:tc>
          <w:tcPr>
            <w:tcW w:w="88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总投资（万元）</w:t>
            </w:r>
          </w:p>
        </w:tc>
        <w:tc>
          <w:tcPr>
            <w:tcW w:w="157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 w:val="24"/>
                <w:szCs w:val="21"/>
                <w:highlight w:val="none"/>
                <w:lang w:val="en-US" w:eastAsia="zh-CN"/>
                <w14:textFill>
                  <w14:solidFill>
                    <w14:schemeClr w14:val="tx1"/>
                  </w14:solidFill>
                </w14:textFill>
              </w:rPr>
              <w:t>1600</w:t>
            </w:r>
          </w:p>
        </w:tc>
        <w:tc>
          <w:tcPr>
            <w:tcW w:w="968"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环保投资</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（万元）</w:t>
            </w:r>
          </w:p>
        </w:tc>
        <w:tc>
          <w:tcPr>
            <w:tcW w:w="156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72.1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0" w:hRule="atLeast"/>
        </w:trPr>
        <w:tc>
          <w:tcPr>
            <w:tcW w:w="88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环保投资占比（%）</w:t>
            </w:r>
          </w:p>
        </w:tc>
        <w:tc>
          <w:tcPr>
            <w:tcW w:w="157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4.5</w:t>
            </w:r>
          </w:p>
        </w:tc>
        <w:tc>
          <w:tcPr>
            <w:tcW w:w="968"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施工工期</w:t>
            </w:r>
          </w:p>
        </w:tc>
        <w:tc>
          <w:tcPr>
            <w:tcW w:w="156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8" w:hRule="atLeast"/>
        </w:trPr>
        <w:tc>
          <w:tcPr>
            <w:tcW w:w="88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是否开工建设</w:t>
            </w:r>
          </w:p>
        </w:tc>
        <w:tc>
          <w:tcPr>
            <w:tcW w:w="4112" w:type="pct"/>
            <w:gridSpan w:val="3"/>
            <w:noWrap w:val="0"/>
            <w:vAlign w:val="center"/>
          </w:tcPr>
          <w:p>
            <w:pPr>
              <w:keepNext w:val="0"/>
              <w:keepLines w:val="0"/>
              <w:suppressLineNumbers w:val="0"/>
              <w:adjustRightInd w:val="0"/>
              <w:snapToGrid w:val="0"/>
              <w:spacing w:before="0" w:beforeAutospacing="0" w:after="0" w:afterAutospacing="0"/>
              <w:ind w:left="0" w:right="0" w:firstLine="105"/>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sym w:font="Wingdings 2" w:char="0052"/>
            </w:r>
            <w:r>
              <w:rPr>
                <w:rFonts w:hint="default" w:ascii="Times New Roman" w:hAnsi="Times New Roman" w:cs="Times New Roman"/>
                <w:color w:val="000000" w:themeColor="text1"/>
                <w:sz w:val="24"/>
                <w:szCs w:val="24"/>
                <w14:textFill>
                  <w14:solidFill>
                    <w14:schemeClr w14:val="tx1"/>
                  </w14:solidFill>
                </w14:textFill>
              </w:rPr>
              <w:t>否</w:t>
            </w:r>
          </w:p>
          <w:p>
            <w:pPr>
              <w:keepNext w:val="0"/>
              <w:keepLines w:val="0"/>
              <w:suppressLineNumbers w:val="0"/>
              <w:adjustRightInd w:val="0"/>
              <w:snapToGrid w:val="0"/>
              <w:spacing w:before="0" w:beforeAutospacing="0" w:after="0" w:afterAutospacing="0"/>
              <w:ind w:left="0" w:right="0" w:firstLine="92"/>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sym w:font="Wingdings 2" w:char="00A3"/>
            </w:r>
            <w:r>
              <w:rPr>
                <w:rFonts w:hint="default" w:ascii="Times New Roman" w:hAnsi="Times New Roman" w:cs="Times New Roman"/>
                <w:color w:val="000000" w:themeColor="text1"/>
                <w:sz w:val="24"/>
                <w:szCs w:val="24"/>
                <w14:textFill>
                  <w14:solidFill>
                    <w14:schemeClr w14:val="tx1"/>
                  </w14:solidFill>
                </w14:textFill>
              </w:rPr>
              <w:t>是：</w:t>
            </w:r>
            <w:r>
              <w:rPr>
                <w:rFonts w:hint="default" w:ascii="Times New Roman" w:hAnsi="Times New Roman" w:cs="Times New Roman"/>
                <w:color w:val="000000" w:themeColor="text1"/>
                <w:sz w:val="24"/>
                <w:szCs w:val="24"/>
                <w:u w:val="single"/>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76" w:hRule="atLeast"/>
        </w:trPr>
        <w:tc>
          <w:tcPr>
            <w:tcW w:w="887" w:type="pct"/>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专项评价设置情况</w:t>
            </w:r>
          </w:p>
        </w:tc>
        <w:tc>
          <w:tcPr>
            <w:tcW w:w="4112" w:type="pct"/>
            <w:gridSpan w:val="3"/>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jc w:val="both"/>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本项目升压站电压等级为</w:t>
            </w:r>
            <w:r>
              <w:rPr>
                <w:rFonts w:hint="default" w:ascii="Times New Roman" w:hAnsi="Times New Roman" w:eastAsia="TimesNewRomanPSMT" w:cs="Times New Roman"/>
                <w:color w:val="000000" w:themeColor="text1"/>
                <w:sz w:val="24"/>
                <w:szCs w:val="24"/>
                <w14:textFill>
                  <w14:solidFill>
                    <w14:schemeClr w14:val="tx1"/>
                  </w14:solidFill>
                </w14:textFill>
              </w:rPr>
              <w:t>110kV</w:t>
            </w:r>
            <w:r>
              <w:rPr>
                <w:rFonts w:hint="default" w:ascii="Times New Roman" w:hAnsi="Times New Roman" w:eastAsia="宋体" w:cs="Times New Roman"/>
                <w:color w:val="000000" w:themeColor="text1"/>
                <w:sz w:val="24"/>
                <w:szCs w:val="24"/>
                <w14:textFill>
                  <w14:solidFill>
                    <w14:schemeClr w14:val="tx1"/>
                  </w14:solidFill>
                </w14:textFill>
              </w:rPr>
              <w:t>，根据《环境影响评价技术导则</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输变电》（</w:t>
            </w:r>
            <w:r>
              <w:rPr>
                <w:rFonts w:hint="default" w:ascii="Times New Roman" w:hAnsi="Times New Roman" w:eastAsia="TimesNewRomanPSMT" w:cs="Times New Roman"/>
                <w:color w:val="000000" w:themeColor="text1"/>
                <w:sz w:val="24"/>
                <w:szCs w:val="24"/>
                <w14:textFill>
                  <w14:solidFill>
                    <w14:schemeClr w14:val="tx1"/>
                  </w14:solidFill>
                </w14:textFill>
              </w:rPr>
              <w:t>HJ 24-2020</w:t>
            </w:r>
            <w:r>
              <w:rPr>
                <w:rFonts w:hint="default" w:ascii="Times New Roman" w:hAnsi="Times New Roman" w:eastAsia="宋体" w:cs="Times New Roman"/>
                <w:color w:val="000000" w:themeColor="text1"/>
                <w:sz w:val="24"/>
                <w:szCs w:val="24"/>
                <w14:textFill>
                  <w14:solidFill>
                    <w14:schemeClr w14:val="tx1"/>
                  </w14:solidFill>
                </w14:textFill>
              </w:rPr>
              <w:t>）要求，本项目设置</w:t>
            </w:r>
            <w:r>
              <w:rPr>
                <w:rFonts w:hint="default" w:ascii="Times New Roman" w:hAnsi="Times New Roman" w:eastAsia="TimesNewRomanPSMT" w:cs="Times New Roman"/>
                <w:color w:val="000000" w:themeColor="text1"/>
                <w:sz w:val="24"/>
                <w:szCs w:val="24"/>
                <w14:textFill>
                  <w14:solidFill>
                    <w14:schemeClr w14:val="tx1"/>
                  </w14:solidFill>
                </w14:textFill>
              </w:rPr>
              <w:t>110kV</w:t>
            </w:r>
            <w:r>
              <w:rPr>
                <w:rFonts w:hint="default" w:ascii="Times New Roman" w:hAnsi="Times New Roman" w:eastAsia="宋体" w:cs="Times New Roman"/>
                <w:color w:val="000000" w:themeColor="text1"/>
                <w:sz w:val="24"/>
                <w:szCs w:val="24"/>
                <w14:textFill>
                  <w14:solidFill>
                    <w14:schemeClr w14:val="tx1"/>
                  </w14:solidFill>
                </w14:textFill>
              </w:rPr>
              <w:t>升压站电磁环境影响专项评价。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8" w:hRule="atLeast"/>
        </w:trPr>
        <w:tc>
          <w:tcPr>
            <w:tcW w:w="887" w:type="pct"/>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规划情况</w:t>
            </w:r>
          </w:p>
        </w:tc>
        <w:tc>
          <w:tcPr>
            <w:tcW w:w="4112" w:type="pct"/>
            <w:gridSpan w:val="3"/>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90" w:hRule="atLeast"/>
        </w:trPr>
        <w:tc>
          <w:tcPr>
            <w:tcW w:w="887" w:type="pct"/>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规划环境影响</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评价情况</w:t>
            </w:r>
          </w:p>
        </w:tc>
        <w:tc>
          <w:tcPr>
            <w:tcW w:w="4112" w:type="pct"/>
            <w:gridSpan w:val="3"/>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05" w:hRule="atLeast"/>
        </w:trPr>
        <w:tc>
          <w:tcPr>
            <w:tcW w:w="887" w:type="pct"/>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规划及</w:t>
            </w:r>
            <w:r>
              <w:rPr>
                <w:rFonts w:hint="default" w:ascii="Times New Roman" w:hAnsi="Times New Roman" w:cs="Times New Roman"/>
                <w:color w:val="000000" w:themeColor="text1"/>
                <w:sz w:val="24"/>
                <w:szCs w:val="24"/>
                <w14:textFill>
                  <w14:solidFill>
                    <w14:schemeClr w14:val="tx1"/>
                  </w14:solidFill>
                </w14:textFill>
              </w:rPr>
              <w:t>规划环境影响评价</w:t>
            </w:r>
            <w:r>
              <w:rPr>
                <w:rFonts w:hint="default" w:ascii="Times New Roman" w:hAnsi="Times New Roman" w:cs="Times New Roman"/>
                <w:color w:val="000000" w:themeColor="text1"/>
                <w:kern w:val="0"/>
                <w:sz w:val="24"/>
                <w:szCs w:val="24"/>
                <w14:textFill>
                  <w14:solidFill>
                    <w14:schemeClr w14:val="tx1"/>
                  </w14:solidFill>
                </w14:textFill>
              </w:rPr>
              <w:t>符合性分析</w:t>
            </w:r>
          </w:p>
        </w:tc>
        <w:tc>
          <w:tcPr>
            <w:tcW w:w="4112" w:type="pct"/>
            <w:gridSpan w:val="3"/>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742" w:hRule="atLeast"/>
        </w:trPr>
        <w:tc>
          <w:tcPr>
            <w:tcW w:w="887" w:type="pct"/>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bookmarkStart w:id="11" w:name="_Hlk56690880"/>
            <w:r>
              <w:rPr>
                <w:rFonts w:hint="default" w:ascii="Times New Roman" w:hAnsi="Times New Roman" w:cs="Times New Roman"/>
                <w:color w:val="000000" w:themeColor="text1"/>
                <w:kern w:val="0"/>
                <w:sz w:val="24"/>
                <w:szCs w:val="24"/>
                <w14:textFill>
                  <w14:solidFill>
                    <w14:schemeClr w14:val="tx1"/>
                  </w14:solidFill>
                </w14:textFill>
              </w:rPr>
              <w:t>其他符合性分析</w:t>
            </w:r>
            <w:bookmarkEnd w:id="11"/>
          </w:p>
        </w:tc>
        <w:tc>
          <w:tcPr>
            <w:tcW w:w="4112" w:type="pct"/>
            <w:gridSpan w:val="3"/>
            <w:noWrap w:val="0"/>
            <w:tcMar>
              <w:top w:w="16" w:type="dxa"/>
              <w:left w:w="16" w:type="dxa"/>
              <w:right w:w="16" w:type="dxa"/>
            </w:tcMar>
            <w:vAlign w:val="center"/>
          </w:tcPr>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lang w:val="en-US" w:eastAsia="zh-CN"/>
                <w14:textFill>
                  <w14:solidFill>
                    <w14:schemeClr w14:val="tx1"/>
                  </w14:solidFill>
                </w14:textFill>
              </w:rPr>
              <w:t>1、</w:t>
            </w:r>
            <w:r>
              <w:rPr>
                <w:rFonts w:hint="default" w:ascii="Times New Roman" w:hAnsi="Times New Roman" w:cs="Times New Roman"/>
                <w:b/>
                <w:bCs/>
                <w:color w:val="000000" w:themeColor="text1"/>
                <w:sz w:val="24"/>
                <w14:textFill>
                  <w14:solidFill>
                    <w14:schemeClr w14:val="tx1"/>
                  </w14:solidFill>
                </w14:textFill>
              </w:rPr>
              <w:t>与产业政策相符性分析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项目为</w:t>
            </w:r>
            <w:r>
              <w:rPr>
                <w:rFonts w:hint="default" w:ascii="Times New Roman" w:hAnsi="Times New Roman" w:eastAsia="宋体" w:cs="Times New Roman"/>
                <w:color w:val="000000" w:themeColor="text1"/>
                <w:sz w:val="24"/>
                <w:szCs w:val="24"/>
                <w14:textFill>
                  <w14:solidFill>
                    <w14:schemeClr w14:val="tx1"/>
                  </w14:solidFill>
                </w14:textFill>
              </w:rPr>
              <w:t>光伏发电项目</w:t>
            </w:r>
            <w:r>
              <w:rPr>
                <w:rFonts w:hint="default" w:ascii="Times New Roman" w:hAnsi="Times New Roman" w:cs="Times New Roman"/>
                <w:color w:val="000000" w:themeColor="text1"/>
                <w:sz w:val="24"/>
                <w14:textFill>
                  <w14:solidFill>
                    <w14:schemeClr w14:val="tx1"/>
                  </w14:solidFill>
                </w14:textFill>
              </w:rPr>
              <w:t>配套的电力设施</w:t>
            </w:r>
            <w:r>
              <w:rPr>
                <w:rFonts w:hint="default" w:ascii="Times New Roman" w:hAnsi="Times New Roman" w:cs="Times New Roman"/>
                <w:color w:val="000000" w:themeColor="text1"/>
                <w:sz w:val="24"/>
                <w:lang w:eastAsia="zh-CN"/>
                <w14:textFill>
                  <w14:solidFill>
                    <w14:schemeClr w14:val="tx1"/>
                  </w14:solidFill>
                </w14:textFill>
              </w:rPr>
              <w:t>（升压站）建设</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光伏发电</w:t>
            </w:r>
            <w:r>
              <w:rPr>
                <w:rFonts w:hint="default" w:ascii="Times New Roman" w:hAnsi="Times New Roman" w:eastAsia="宋体" w:cs="Times New Roman"/>
                <w:color w:val="000000" w:themeColor="text1"/>
                <w:sz w:val="24"/>
                <w:lang w:val="en-US" w:eastAsia="zh-CN"/>
                <w14:textFill>
                  <w14:solidFill>
                    <w14:schemeClr w14:val="tx1"/>
                  </w14:solidFill>
                </w14:textFill>
              </w:rPr>
              <w:t>属于</w:t>
            </w:r>
            <w:r>
              <w:rPr>
                <w:rFonts w:hint="default" w:ascii="Times New Roman" w:hAnsi="Times New Roman" w:cs="Times New Roman"/>
                <w:color w:val="000000" w:themeColor="text1"/>
                <w:sz w:val="24"/>
                <w14:textFill>
                  <w14:solidFill>
                    <w14:schemeClr w14:val="tx1"/>
                  </w14:solidFill>
                </w14:textFill>
              </w:rPr>
              <w:t>《产业结构调整指导目录（2019年本）》及其修改单中“五、新能源”中“太阳能热发电集热系统、太阳能光伏发电系统集成技术开发应用、逆变控制系统开发制造”，为鼓励类项目。</w:t>
            </w:r>
            <w:r>
              <w:rPr>
                <w:rFonts w:hint="default" w:ascii="Times New Roman" w:hAnsi="Times New Roman" w:cs="Times New Roman"/>
                <w:color w:val="000000" w:themeColor="text1"/>
                <w:sz w:val="24"/>
                <w:lang w:eastAsia="zh-CN"/>
                <w14:textFill>
                  <w14:solidFill>
                    <w14:schemeClr w14:val="tx1"/>
                  </w14:solidFill>
                </w14:textFill>
              </w:rPr>
              <w:t>因此，项目建设符合</w:t>
            </w:r>
            <w:r>
              <w:rPr>
                <w:rFonts w:hint="default" w:ascii="Times New Roman" w:hAnsi="Times New Roman" w:cs="Times New Roman"/>
                <w:color w:val="000000" w:themeColor="text1"/>
                <w:sz w:val="24"/>
                <w14:textFill>
                  <w14:solidFill>
                    <w14:schemeClr w14:val="tx1"/>
                  </w14:solidFill>
                </w14:textFill>
              </w:rPr>
              <w:t>国家产业政策</w:t>
            </w:r>
            <w:r>
              <w:rPr>
                <w:rFonts w:hint="default" w:ascii="Times New Roman" w:hAnsi="Times New Roman" w:cs="Times New Roman"/>
                <w:color w:val="000000" w:themeColor="text1"/>
                <w:sz w:val="24"/>
                <w:lang w:eastAsia="zh-CN"/>
                <w14:textFill>
                  <w14:solidFill>
                    <w14:schemeClr w14:val="tx1"/>
                  </w14:solidFill>
                </w14:textFill>
              </w:rPr>
              <w:t>的要求。</w:t>
            </w:r>
          </w:p>
          <w:p>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000000" w:themeColor="text1"/>
                <w:sz w:val="24"/>
                <w:szCs w:val="32"/>
                <w:lang w:val="en-US" w:eastAsia="zh-CN"/>
                <w14:textFill>
                  <w14:solidFill>
                    <w14:schemeClr w14:val="tx1"/>
                  </w14:solidFill>
                </w14:textFill>
              </w:rPr>
            </w:pPr>
            <w:r>
              <w:rPr>
                <w:rFonts w:hint="default" w:ascii="Times New Roman" w:hAnsi="Times New Roman" w:cs="Times New Roman"/>
                <w:b/>
                <w:bCs/>
                <w:color w:val="000000" w:themeColor="text1"/>
                <w:sz w:val="24"/>
                <w:szCs w:val="32"/>
                <w:lang w:val="en-US" w:eastAsia="zh-CN"/>
                <w14:textFill>
                  <w14:solidFill>
                    <w14:schemeClr w14:val="tx1"/>
                  </w14:solidFill>
                </w14:textFill>
              </w:rPr>
              <w:t>2、与《输变电建设项目环境保护技术要求》（HJ1113-2020）的相符性分析</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kern w:val="0"/>
                <w:sz w:val="24"/>
                <w:szCs w:val="24"/>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u w:val="none" w:color="auto"/>
                <w:lang w:val="en-US" w:eastAsia="zh-CN"/>
                <w14:textFill>
                  <w14:solidFill>
                    <w14:schemeClr w14:val="tx1"/>
                  </w14:solidFill>
                </w14:textFill>
              </w:rPr>
              <w:t>本项目建设不含送出线路，</w:t>
            </w:r>
            <w:r>
              <w:rPr>
                <w:rFonts w:hint="eastAsia" w:cs="Times New Roman"/>
                <w:color w:val="000000" w:themeColor="text1"/>
                <w:kern w:val="0"/>
                <w:sz w:val="24"/>
                <w:szCs w:val="24"/>
                <w:u w:val="none" w:color="auto"/>
                <w:lang w:val="en-US" w:eastAsia="zh-CN"/>
                <w14:textFill>
                  <w14:solidFill>
                    <w14:schemeClr w14:val="tx1"/>
                  </w14:solidFill>
                </w14:textFill>
              </w:rPr>
              <w:t>项目</w:t>
            </w:r>
            <w:r>
              <w:rPr>
                <w:rFonts w:hint="default" w:ascii="Times New Roman" w:hAnsi="Times New Roman" w:eastAsia="宋体" w:cs="Times New Roman"/>
                <w:color w:val="000000" w:themeColor="text1"/>
                <w:kern w:val="0"/>
                <w:sz w:val="24"/>
                <w:szCs w:val="24"/>
                <w:u w:val="none" w:color="auto"/>
                <w:lang w:val="en-US" w:eastAsia="zh-CN"/>
                <w14:textFill>
                  <w14:solidFill>
                    <w14:schemeClr w14:val="tx1"/>
                  </w14:solidFill>
                </w14:textFill>
              </w:rPr>
              <w:t>在设计、施工、运行阶段均提出了相应的环境保护措施，推动环境保护“三同时”制度的落实，项目与《输变电建设项目环境保护技术要求》（HJ1113-2020）的相关规定符合性见下表。</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表1-1项目与《输变电建设项目环境保护技术要求》（HJ1113-2020）的相符性分析表</w:t>
            </w:r>
          </w:p>
          <w:tbl>
            <w:tblPr>
              <w:tblStyle w:val="23"/>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21"/>
              <w:gridCol w:w="2830"/>
              <w:gridCol w:w="2440"/>
              <w:gridCol w:w="6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bCs/>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bCs/>
                      <w:caps w:val="0"/>
                      <w:color w:val="000000" w:themeColor="text1"/>
                      <w:kern w:val="2"/>
                      <w:sz w:val="21"/>
                      <w:szCs w:val="21"/>
                      <w:u w:val="none"/>
                      <w:lang w:val="en-US" w:eastAsia="zh-CN" w:bidi="ar"/>
                      <w14:textFill>
                        <w14:solidFill>
                          <w14:schemeClr w14:val="tx1"/>
                        </w14:solidFill>
                      </w14:textFill>
                    </w:rPr>
                    <w:t>序号</w:t>
                  </w:r>
                </w:p>
              </w:tc>
              <w:tc>
                <w:tcPr>
                  <w:tcW w:w="505"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bCs/>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bCs/>
                      <w:caps w:val="0"/>
                      <w:color w:val="000000" w:themeColor="text1"/>
                      <w:kern w:val="2"/>
                      <w:sz w:val="21"/>
                      <w:szCs w:val="21"/>
                      <w:u w:val="none"/>
                      <w:lang w:val="en-US" w:eastAsia="zh-CN" w:bidi="ar"/>
                      <w14:textFill>
                        <w14:solidFill>
                          <w14:schemeClr w14:val="tx1"/>
                        </w14:solidFill>
                      </w14:textFill>
                    </w:rPr>
                    <w:t>内容</w:t>
                  </w: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bCs/>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bCs/>
                      <w:caps w:val="0"/>
                      <w:color w:val="000000" w:themeColor="text1"/>
                      <w:kern w:val="2"/>
                      <w:sz w:val="21"/>
                      <w:szCs w:val="21"/>
                      <w:u w:val="none"/>
                      <w14:textFill>
                        <w14:solidFill>
                          <w14:schemeClr w14:val="tx1"/>
                        </w14:solidFill>
                      </w14:textFill>
                    </w:rPr>
                    <w:t>输变电建设项目环境保护技术要求</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bCs/>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bCs/>
                      <w:caps w:val="0"/>
                      <w:color w:val="000000" w:themeColor="text1"/>
                      <w:kern w:val="2"/>
                      <w:sz w:val="21"/>
                      <w:szCs w:val="21"/>
                      <w:u w:val="none"/>
                      <w:lang w:val="en-US" w:eastAsia="zh-CN" w:bidi="ar"/>
                      <w14:textFill>
                        <w14:solidFill>
                          <w14:schemeClr w14:val="tx1"/>
                        </w14:solidFill>
                      </w14:textFill>
                    </w:rPr>
                    <w:t>项目情况</w:t>
                  </w:r>
                </w:p>
              </w:tc>
              <w:tc>
                <w:tcPr>
                  <w:tcW w:w="481"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bCs/>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bCs/>
                      <w:caps w:val="0"/>
                      <w:color w:val="000000" w:themeColor="text1"/>
                      <w:kern w:val="2"/>
                      <w:sz w:val="21"/>
                      <w:szCs w:val="21"/>
                      <w:u w:val="none"/>
                      <w:lang w:val="en-US" w:eastAsia="zh-CN" w:bidi="ar"/>
                      <w14:textFill>
                        <w14:solidFill>
                          <w14:schemeClr w14:val="tx1"/>
                        </w14:solidFill>
                      </w14:textFill>
                    </w:rPr>
                    <w:t>是否符合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restar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1</w:t>
                  </w:r>
                </w:p>
              </w:tc>
              <w:tc>
                <w:tcPr>
                  <w:tcW w:w="505" w:type="pct"/>
                  <w:vMerge w:val="restar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选址选线</w:t>
                  </w: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6"/>
                      <w:kern w:val="2"/>
                      <w:sz w:val="21"/>
                      <w:szCs w:val="21"/>
                      <w:u w:val="none"/>
                      <w:lang w:val="en-US" w:eastAsia="zh-CN" w:bidi="ar-SA"/>
                      <w14:textFill>
                        <w14:solidFill>
                          <w14:schemeClr w14:val="tx1"/>
                        </w14:solidFill>
                      </w14:textFill>
                    </w:rPr>
                    <w:t>输变电建设项目选址选线应符合生态保护红线管控要求，避让自然保护区、饮用水水源保护区等环境敏感区。</w:t>
                  </w:r>
                </w:p>
              </w:tc>
              <w:tc>
                <w:tcPr>
                  <w:tcW w:w="1709" w:type="pct"/>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eastAsia" w:cs="Times New Roman"/>
                      <w:color w:val="000000" w:themeColor="text1"/>
                      <w:sz w:val="21"/>
                      <w:szCs w:val="21"/>
                      <w:lang w:eastAsia="zh-CN"/>
                      <w14:textFill>
                        <w14:solidFill>
                          <w14:schemeClr w14:val="tx1"/>
                        </w14:solidFill>
                      </w14:textFill>
                    </w:rPr>
                    <w:t>建设不含</w:t>
                  </w:r>
                  <w:r>
                    <w:rPr>
                      <w:rFonts w:hint="default" w:ascii="Times New Roman" w:hAnsi="Times New Roman" w:eastAsia="宋体" w:cs="Times New Roman"/>
                      <w:color w:val="000000" w:themeColor="text1"/>
                      <w:sz w:val="21"/>
                      <w:szCs w:val="21"/>
                      <w14:textFill>
                        <w14:solidFill>
                          <w14:schemeClr w14:val="tx1"/>
                        </w14:solidFill>
                      </w14:textFill>
                    </w:rPr>
                    <w:t>送出线路，</w:t>
                  </w:r>
                  <w:r>
                    <w:rPr>
                      <w:rFonts w:hint="eastAsia" w:cs="Times New Roman"/>
                      <w:color w:val="000000" w:themeColor="text1"/>
                      <w:sz w:val="21"/>
                      <w:szCs w:val="21"/>
                      <w:lang w:eastAsia="zh-CN"/>
                      <w14:textFill>
                        <w14:solidFill>
                          <w14:schemeClr w14:val="tx1"/>
                        </w14:solidFill>
                      </w14:textFill>
                    </w:rPr>
                    <w:t>升压站选址</w:t>
                  </w:r>
                  <w:r>
                    <w:rPr>
                      <w:rFonts w:hint="default" w:ascii="Times New Roman" w:hAnsi="Times New Roman" w:eastAsia="宋体" w:cs="Times New Roman"/>
                      <w:color w:val="000000" w:themeColor="text1"/>
                      <w:sz w:val="21"/>
                      <w:szCs w:val="21"/>
                      <w14:textFill>
                        <w14:solidFill>
                          <w14:schemeClr w14:val="tx1"/>
                        </w14:solidFill>
                      </w14:textFill>
                    </w:rPr>
                    <w:t>不涉及生态保护红线、饮用水</w:t>
                  </w:r>
                  <w:r>
                    <w:rPr>
                      <w:rFonts w:hint="default" w:ascii="Times New Roman" w:hAnsi="Times New Roman" w:eastAsia="宋体" w:cs="Times New Roman"/>
                      <w:b w:val="0"/>
                      <w:bCs w:val="0"/>
                      <w:caps w:val="0"/>
                      <w:color w:val="000000" w:themeColor="text1"/>
                      <w:spacing w:val="-6"/>
                      <w:kern w:val="2"/>
                      <w:sz w:val="21"/>
                      <w:szCs w:val="21"/>
                      <w:u w:val="none"/>
                      <w:lang w:val="en-US" w:eastAsia="zh-CN" w:bidi="ar-SA"/>
                      <w14:textFill>
                        <w14:solidFill>
                          <w14:schemeClr w14:val="tx1"/>
                        </w14:solidFill>
                      </w14:textFill>
                    </w:rPr>
                    <w:t>水源</w:t>
                  </w:r>
                  <w:r>
                    <w:rPr>
                      <w:rFonts w:hint="default" w:ascii="Times New Roman" w:hAnsi="Times New Roman" w:eastAsia="宋体" w:cs="Times New Roman"/>
                      <w:color w:val="000000" w:themeColor="text1"/>
                      <w:sz w:val="21"/>
                      <w:szCs w:val="21"/>
                      <w14:textFill>
                        <w14:solidFill>
                          <w14:schemeClr w14:val="tx1"/>
                        </w14:solidFill>
                      </w14:textFill>
                    </w:rPr>
                    <w:t>保护区</w:t>
                  </w:r>
                  <w:r>
                    <w:rPr>
                      <w:rFonts w:hint="eastAsia" w:cs="Times New Roman"/>
                      <w:color w:val="000000" w:themeColor="text1"/>
                      <w:sz w:val="21"/>
                      <w:szCs w:val="21"/>
                      <w:lang w:eastAsia="zh-CN"/>
                      <w14:textFill>
                        <w14:solidFill>
                          <w14:schemeClr w14:val="tx1"/>
                        </w14:solidFill>
                      </w14:textFill>
                    </w:rPr>
                    <w:t>及</w:t>
                  </w:r>
                  <w:r>
                    <w:rPr>
                      <w:rFonts w:hint="default" w:ascii="Times New Roman" w:hAnsi="Times New Roman" w:eastAsia="宋体" w:cs="Times New Roman"/>
                      <w:color w:val="000000" w:themeColor="text1"/>
                      <w:sz w:val="21"/>
                      <w:szCs w:val="21"/>
                      <w14:textFill>
                        <w14:solidFill>
                          <w14:schemeClr w14:val="tx1"/>
                        </w14:solidFill>
                      </w14:textFill>
                    </w:rPr>
                    <w:t>自然保护区</w:t>
                  </w:r>
                  <w:r>
                    <w:rPr>
                      <w:rFonts w:hint="eastAsia" w:cs="Times New Roman"/>
                      <w:color w:val="000000" w:themeColor="text1"/>
                      <w:sz w:val="21"/>
                      <w:szCs w:val="21"/>
                      <w:lang w:eastAsia="zh-CN"/>
                      <w14:textFill>
                        <w14:solidFill>
                          <w14:schemeClr w14:val="tx1"/>
                        </w14:solidFill>
                      </w14:textFill>
                    </w:rPr>
                    <w:t>等敏感区</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81"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p>
              </w:tc>
              <w:tc>
                <w:tcPr>
                  <w:tcW w:w="505"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p>
              </w:tc>
              <w:tc>
                <w:tcPr>
                  <w:tcW w:w="1982" w:type="pct"/>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b w:val="0"/>
                      <w:bCs w:val="0"/>
                      <w:cap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SA"/>
                      <w14:textFill>
                        <w14:solidFill>
                          <w14:schemeClr w14:val="tx1"/>
                        </w14:solidFill>
                      </w14:textFill>
                    </w:rPr>
                    <w:t>变电工程在选址时应按终期规模综合考虑进出线走廊规划，避免进出线进入自然保护区、饮用水水源保护区等环境敏感区。</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项目选址时已考虑终期进出线规划，项目不涉及自然保护区、饮</w:t>
                  </w:r>
                  <w:r>
                    <w:rPr>
                      <w:rFonts w:hint="default" w:ascii="Times New Roman" w:hAnsi="Times New Roman" w:cs="Times New Roman"/>
                      <w:b w:val="0"/>
                      <w:bCs w:val="0"/>
                      <w:caps w:val="0"/>
                      <w:color w:val="000000" w:themeColor="text1"/>
                      <w:kern w:val="2"/>
                      <w:sz w:val="21"/>
                      <w:szCs w:val="21"/>
                      <w:u w:val="none"/>
                      <w:lang w:val="en-US" w:eastAsia="zh-CN" w:bidi="ar"/>
                      <w14:textFill>
                        <w14:solidFill>
                          <w14:schemeClr w14:val="tx1"/>
                        </w14:solidFill>
                      </w14:textFill>
                    </w:rPr>
                    <w:t>用</w:t>
                  </w: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水水源保护区等环境敏感区。</w:t>
                  </w:r>
                </w:p>
              </w:tc>
              <w:tc>
                <w:tcPr>
                  <w:tcW w:w="481" w:type="pct"/>
                  <w:noWrap w:val="0"/>
                  <w:vAlign w:val="center"/>
                </w:tcPr>
                <w:p>
                  <w:pPr>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p>
              </w:tc>
              <w:tc>
                <w:tcPr>
                  <w:tcW w:w="505"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户外变电工程及规划架空进出线选址选线时，应关注以居住、医疗卫生、文化教育、科研、行政办公等为主要功能的区域，采取综合措施，减少电磁和声环境影响。</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项目</w:t>
                  </w:r>
                  <w:r>
                    <w:rPr>
                      <w:rFonts w:hint="eastAsia" w:ascii="Times New Roman" w:hAnsi="Times New Roman" w:cs="Times New Roman"/>
                      <w:b w:val="0"/>
                      <w:bCs w:val="0"/>
                      <w:caps w:val="0"/>
                      <w:color w:val="000000" w:themeColor="text1"/>
                      <w:kern w:val="2"/>
                      <w:sz w:val="21"/>
                      <w:szCs w:val="21"/>
                      <w:u w:val="none"/>
                      <w:lang w:val="en-US" w:eastAsia="zh-CN" w:bidi="ar"/>
                      <w14:textFill>
                        <w14:solidFill>
                          <w14:schemeClr w14:val="tx1"/>
                        </w14:solidFill>
                      </w14:textFill>
                    </w:rPr>
                    <w:t>建设</w:t>
                  </w: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不</w:t>
                  </w:r>
                  <w:r>
                    <w:rPr>
                      <w:rFonts w:hint="eastAsia" w:ascii="Times New Roman" w:hAnsi="Times New Roman" w:cs="Times New Roman"/>
                      <w:b w:val="0"/>
                      <w:bCs w:val="0"/>
                      <w:caps w:val="0"/>
                      <w:color w:val="000000" w:themeColor="text1"/>
                      <w:kern w:val="2"/>
                      <w:sz w:val="21"/>
                      <w:szCs w:val="21"/>
                      <w:u w:val="none"/>
                      <w:lang w:val="en-US" w:eastAsia="zh-CN" w:bidi="ar"/>
                      <w14:textFill>
                        <w14:solidFill>
                          <w14:schemeClr w14:val="tx1"/>
                        </w14:solidFill>
                      </w14:textFill>
                    </w:rPr>
                    <w:t>含</w:t>
                  </w: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送出线路，升压站通过合理布置站内电气设备，电气设备均设置接地，降低</w:t>
                  </w:r>
                  <w:r>
                    <w:rPr>
                      <w:rFonts w:hint="eastAsia" w:ascii="Times New Roman" w:hAnsi="Times New Roman" w:cs="Times New Roman"/>
                      <w:b w:val="0"/>
                      <w:bCs w:val="0"/>
                      <w:caps w:val="0"/>
                      <w:color w:val="000000" w:themeColor="text1"/>
                      <w:kern w:val="2"/>
                      <w:sz w:val="21"/>
                      <w:szCs w:val="21"/>
                      <w:u w:val="none"/>
                      <w:lang w:val="en-US" w:eastAsia="zh-CN" w:bidi="ar"/>
                      <w14:textFill>
                        <w14:solidFill>
                          <w14:schemeClr w14:val="tx1"/>
                        </w14:solidFill>
                      </w14:textFill>
                    </w:rPr>
                    <w:t>对</w:t>
                  </w: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站外电磁环境的影响，且升压站</w:t>
                  </w:r>
                  <w:r>
                    <w:rPr>
                      <w:rFonts w:hint="eastAsia" w:ascii="Times New Roman" w:hAnsi="Times New Roman" w:cs="Times New Roman"/>
                      <w:b w:val="0"/>
                      <w:bCs w:val="0"/>
                      <w:caps w:val="0"/>
                      <w:color w:val="000000" w:themeColor="text1"/>
                      <w:kern w:val="2"/>
                      <w:sz w:val="21"/>
                      <w:szCs w:val="21"/>
                      <w:u w:val="none"/>
                      <w:lang w:val="en-US" w:eastAsia="zh-CN" w:bidi="ar"/>
                      <w14:textFill>
                        <w14:solidFill>
                          <w14:schemeClr w14:val="tx1"/>
                        </w14:solidFill>
                      </w14:textFill>
                    </w:rPr>
                    <w:t>厂界</w:t>
                  </w:r>
                  <w:r>
                    <w:rPr>
                      <w:rFonts w:hint="default" w:ascii="Times New Roman" w:hAnsi="Times New Roman" w:cs="Times New Roman"/>
                      <w:b w:val="0"/>
                      <w:bCs w:val="0"/>
                      <w:caps w:val="0"/>
                      <w:color w:val="000000" w:themeColor="text1"/>
                      <w:kern w:val="2"/>
                      <w:sz w:val="21"/>
                      <w:szCs w:val="21"/>
                      <w:u w:val="none"/>
                      <w:lang w:val="en-US" w:eastAsia="zh-CN" w:bidi="ar"/>
                      <w14:textFill>
                        <w14:solidFill>
                          <w14:schemeClr w14:val="tx1"/>
                        </w14:solidFill>
                      </w14:textFill>
                    </w:rPr>
                    <w:t>10</w:t>
                  </w: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0m范围内无集中居住区、医疗卫生、文化教育、科研、行政办公等为主要功能的区域。</w:t>
                  </w:r>
                </w:p>
              </w:tc>
              <w:tc>
                <w:tcPr>
                  <w:tcW w:w="481" w:type="pct"/>
                  <w:noWrap w:val="0"/>
                  <w:vAlign w:val="center"/>
                </w:tcPr>
                <w:p>
                  <w:pPr>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2</w:t>
                  </w:r>
                </w:p>
              </w:tc>
              <w:tc>
                <w:tcPr>
                  <w:tcW w:w="505"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设计——总体要求</w:t>
                  </w: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变电工程应设置足够容量的事故油池及其配套的拦截、防雨、防渗等措施和设施。一旦发生泄漏，应能及时进行拦截和处理，确保油及油水混合物全部收集、不外排。</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升压站新建事故油池可满足升压站主变压器排油要求，并提出了防渗要求。</w:t>
                  </w:r>
                </w:p>
              </w:tc>
              <w:tc>
                <w:tcPr>
                  <w:tcW w:w="481" w:type="pct"/>
                  <w:noWrap w:val="0"/>
                  <w:vAlign w:val="center"/>
                </w:tcPr>
                <w:p>
                  <w:pPr>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3</w:t>
                  </w:r>
                </w:p>
              </w:tc>
              <w:tc>
                <w:tcPr>
                  <w:tcW w:w="505" w:type="pct"/>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设计——电磁环境保护</w:t>
                  </w: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工程设计应对产生的工频电场、工频磁场等电磁环境影响因子进行验算，采取相应防护措施，确保电磁环境影响满足国家标准要求。</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经类比分析，项目产生的工频电场、工频磁场等电磁环境影响满足国家标准要求。</w:t>
                  </w:r>
                </w:p>
              </w:tc>
              <w:tc>
                <w:tcPr>
                  <w:tcW w:w="481" w:type="pct"/>
                  <w:noWrap w:val="0"/>
                  <w:vAlign w:val="center"/>
                </w:tcPr>
                <w:p>
                  <w:pPr>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restar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4</w:t>
                  </w:r>
                </w:p>
              </w:tc>
              <w:tc>
                <w:tcPr>
                  <w:tcW w:w="505" w:type="pct"/>
                  <w:vMerge w:val="restart"/>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设计——声</w:t>
                  </w:r>
                  <w:r>
                    <w:rPr>
                      <w:rFonts w:hint="default" w:ascii="Times New Roman" w:hAnsi="Times New Roman" w:eastAsia="宋体" w:cs="Times New Roman"/>
                      <w:color w:val="000000" w:themeColor="text1"/>
                      <w:sz w:val="21"/>
                      <w:szCs w:val="21"/>
                      <w:lang w:eastAsia="zh-CN"/>
                      <w14:textFill>
                        <w14:solidFill>
                          <w14:schemeClr w14:val="tx1"/>
                        </w14:solidFill>
                      </w14:textFill>
                    </w:rPr>
                    <w:t>环境保护</w:t>
                  </w: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变电工程噪声控制设计应首先从噪声源强上进行控制，选择低噪声设备：对于声源上无法根治的噪声，应采用隔声、吸声、消声、防振、减振等降噪措施，确保厂界排放噪声和周围声环境敏感目标分别满足GB12348和GB3096要求。</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升压站选择低噪声设备，主要产噪设备均采用站房或箱体隔声，经预测分析，站区厂界噪声满足GB12348中</w:t>
                  </w:r>
                  <w:r>
                    <w:rPr>
                      <w:rFonts w:hint="default" w:ascii="Times New Roman" w:hAnsi="Times New Roman" w:cs="Times New Roman"/>
                      <w:b w:val="0"/>
                      <w:bCs w:val="0"/>
                      <w:caps w:val="0"/>
                      <w:color w:val="000000" w:themeColor="text1"/>
                      <w:kern w:val="2"/>
                      <w:sz w:val="21"/>
                      <w:szCs w:val="21"/>
                      <w:u w:val="none"/>
                      <w:lang w:val="en-US" w:eastAsia="zh-CN" w:bidi="ar"/>
                      <w14:textFill>
                        <w14:solidFill>
                          <w14:schemeClr w14:val="tx1"/>
                        </w14:solidFill>
                      </w14:textFill>
                    </w:rPr>
                    <w:t>2</w:t>
                  </w: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类标准要求。</w:t>
                  </w:r>
                </w:p>
              </w:tc>
              <w:tc>
                <w:tcPr>
                  <w:tcW w:w="481" w:type="pct"/>
                  <w:noWrap w:val="0"/>
                  <w:vAlign w:val="center"/>
                </w:tcPr>
                <w:p>
                  <w:pPr>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05"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户外变电工程在设计过程中应进行平面布置优化，将主变压器、换流变压器、高压电抗器等主要声源设备布置在站址中央区域或远离站外声环境敏感目标侧的区域。</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项目升压站进行平面布置优化，</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变压器周边</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0m范围内无声环境敏感目标</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81" w:type="pct"/>
                  <w:noWrap w:val="0"/>
                  <w:vAlign w:val="center"/>
                </w:tcPr>
                <w:p>
                  <w:pPr>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restar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5</w:t>
                  </w:r>
                </w:p>
              </w:tc>
              <w:tc>
                <w:tcPr>
                  <w:tcW w:w="505" w:type="pct"/>
                  <w:vMerge w:val="restart"/>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设计——水环境保护</w:t>
                  </w: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变电工程应采取节水措施，加强水的重复利用，减少废（污）水排放。雨水和生活污水应采取分流制。</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singl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spacing w:val="-6"/>
                      <w:kern w:val="2"/>
                      <w:sz w:val="21"/>
                      <w:szCs w:val="21"/>
                      <w:u w:val="single"/>
                      <w:lang w:val="en-US" w:eastAsia="zh-CN" w:bidi="ar"/>
                      <w14:textFill>
                        <w14:solidFill>
                          <w14:schemeClr w14:val="tx1"/>
                        </w14:solidFill>
                      </w14:textFill>
                    </w:rPr>
                    <w:t>项目采取雨污分流制，雨水经雨水沟区收集引流至周边道路雨水沟渠，渗入周边山体，</w:t>
                  </w:r>
                  <w:r>
                    <w:rPr>
                      <w:rFonts w:hint="default" w:ascii="Times New Roman" w:hAnsi="Times New Roman" w:cs="Times New Roman"/>
                      <w:b w:val="0"/>
                      <w:bCs w:val="0"/>
                      <w:caps w:val="0"/>
                      <w:color w:val="000000" w:themeColor="text1"/>
                      <w:spacing w:val="-6"/>
                      <w:kern w:val="2"/>
                      <w:sz w:val="21"/>
                      <w:szCs w:val="21"/>
                      <w:u w:val="single"/>
                      <w:lang w:val="en-US" w:eastAsia="zh-CN" w:bidi="ar"/>
                      <w14:textFill>
                        <w14:solidFill>
                          <w14:schemeClr w14:val="tx1"/>
                        </w14:solidFill>
                      </w14:textFill>
                    </w:rPr>
                    <w:t>生活污水经一体化污水处理设施处理后用于站内绿化</w:t>
                  </w:r>
                  <w:r>
                    <w:rPr>
                      <w:rFonts w:hint="default" w:ascii="Times New Roman" w:hAnsi="Times New Roman" w:eastAsia="宋体" w:cs="Times New Roman"/>
                      <w:b w:val="0"/>
                      <w:bCs w:val="0"/>
                      <w:caps w:val="0"/>
                      <w:color w:val="000000" w:themeColor="text1"/>
                      <w:spacing w:val="-6"/>
                      <w:kern w:val="2"/>
                      <w:sz w:val="21"/>
                      <w:szCs w:val="21"/>
                      <w:u w:val="single"/>
                      <w:lang w:val="en-US" w:eastAsia="zh-CN" w:bidi="ar"/>
                      <w14:textFill>
                        <w14:solidFill>
                          <w14:schemeClr w14:val="tx1"/>
                        </w14:solidFill>
                      </w14:textFill>
                    </w:rPr>
                    <w:t>，不外排。</w:t>
                  </w:r>
                </w:p>
              </w:tc>
              <w:tc>
                <w:tcPr>
                  <w:tcW w:w="481" w:type="pct"/>
                  <w:noWrap w:val="0"/>
                  <w:vAlign w:val="center"/>
                </w:tcPr>
                <w:p>
                  <w:pPr>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p>
              </w:tc>
              <w:tc>
                <w:tcPr>
                  <w:tcW w:w="505" w:type="pct"/>
                  <w:vMerge w:val="continue"/>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变电工程站内产生的生活污水宜考虑处理后纳入城市污水管网：不具备纳入城市污水管网条件的变电工程，应根据站内生活污水产生情况设置生活污水处理装置（化粪池、地埋式污水处理装置、回用水池、蒸发池等），生活污水经处理后回收利用、定期清理或外排，外排时应严格执行相应的国家和地方水污头排放标准用关要求。</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single"/>
                      <w:lang w:val="en-US" w:eastAsia="zh-CN" w:bidi="ar"/>
                      <w14:textFill>
                        <w14:solidFill>
                          <w14:schemeClr w14:val="tx1"/>
                        </w14:solidFill>
                      </w14:textFill>
                    </w:rPr>
                  </w:pPr>
                  <w:r>
                    <w:rPr>
                      <w:rFonts w:hint="default" w:ascii="Times New Roman" w:hAnsi="Times New Roman" w:cs="Times New Roman"/>
                      <w:b w:val="0"/>
                      <w:bCs w:val="0"/>
                      <w:caps w:val="0"/>
                      <w:color w:val="000000" w:themeColor="text1"/>
                      <w:kern w:val="2"/>
                      <w:sz w:val="21"/>
                      <w:szCs w:val="21"/>
                      <w:u w:val="single"/>
                      <w:lang w:val="en-US" w:eastAsia="zh-CN" w:bidi="ar"/>
                      <w14:textFill>
                        <w14:solidFill>
                          <w14:schemeClr w14:val="tx1"/>
                        </w14:solidFill>
                      </w14:textFill>
                    </w:rPr>
                    <w:t>生活污水经一体化污水处理设施处理后用于站内绿化</w:t>
                  </w:r>
                  <w:r>
                    <w:rPr>
                      <w:rFonts w:hint="default" w:ascii="Times New Roman" w:hAnsi="Times New Roman" w:eastAsia="宋体" w:cs="Times New Roman"/>
                      <w:b w:val="0"/>
                      <w:bCs w:val="0"/>
                      <w:caps w:val="0"/>
                      <w:color w:val="000000" w:themeColor="text1"/>
                      <w:kern w:val="2"/>
                      <w:sz w:val="21"/>
                      <w:szCs w:val="21"/>
                      <w:u w:val="single"/>
                      <w:lang w:val="en-US" w:eastAsia="zh-CN" w:bidi="ar"/>
                      <w14:textFill>
                        <w14:solidFill>
                          <w14:schemeClr w14:val="tx1"/>
                        </w14:solidFill>
                      </w14:textFill>
                    </w:rPr>
                    <w:t>，不外排。</w:t>
                  </w:r>
                </w:p>
              </w:tc>
              <w:tc>
                <w:tcPr>
                  <w:tcW w:w="481" w:type="pct"/>
                  <w:noWrap w:val="0"/>
                  <w:vAlign w:val="center"/>
                </w:tcPr>
                <w:p>
                  <w:pPr>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restar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6</w:t>
                  </w:r>
                </w:p>
              </w:tc>
              <w:tc>
                <w:tcPr>
                  <w:tcW w:w="505" w:type="pct"/>
                  <w:vMerge w:val="restart"/>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施工——声环境保护</w:t>
                  </w: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变电工程施工过程中场界环境噪声排放应满足GB12523中的要求。</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经预测分析，升压站施工过程场界环境噪声排放满足GB12523中的要求。</w:t>
                  </w:r>
                </w:p>
              </w:tc>
              <w:tc>
                <w:tcPr>
                  <w:tcW w:w="481" w:type="pct"/>
                  <w:noWrap w:val="0"/>
                  <w:vAlign w:val="center"/>
                </w:tcPr>
                <w:p>
                  <w:pPr>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05"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在城市市区噪声敏感建筑物集中区域内，禁止夜间进行产生环境噪声污染的建筑施工作业，但抢修、抢险作业和因生产工艺上要求或者特殊需要必须连续作业的除外。夜间作业必须公告附近居民。</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项目选址不在城市市区噪声敏感建筑物集中区域内，</w:t>
                  </w:r>
                  <w:r>
                    <w:rPr>
                      <w:rFonts w:hint="default" w:ascii="Times New Roman" w:hAnsi="Times New Roman" w:cs="Times New Roman"/>
                      <w:b w:val="0"/>
                      <w:bCs w:val="0"/>
                      <w:caps w:val="0"/>
                      <w:color w:val="000000" w:themeColor="text1"/>
                      <w:kern w:val="2"/>
                      <w:sz w:val="21"/>
                      <w:szCs w:val="21"/>
                      <w:u w:val="none"/>
                      <w:lang w:val="en-US" w:eastAsia="zh-CN"/>
                      <w14:textFill>
                        <w14:solidFill>
                          <w14:schemeClr w14:val="tx1"/>
                        </w14:solidFill>
                      </w14:textFill>
                    </w:rPr>
                    <w:t>施工时</w:t>
                  </w: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将高噪声设备尽量远离居民区，合理规划施工时间、施工时序，禁止夜间施工措施，确需夜间施工的，及时发布公告告知受影响居民。</w:t>
                  </w:r>
                </w:p>
              </w:tc>
              <w:tc>
                <w:tcPr>
                  <w:tcW w:w="481" w:type="pct"/>
                  <w:noWrap w:val="0"/>
                  <w:vAlign w:val="center"/>
                </w:tcPr>
                <w:p>
                  <w:pPr>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restar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p>
              </w:tc>
              <w:tc>
                <w:tcPr>
                  <w:tcW w:w="505" w:type="pct"/>
                  <w:vMerge w:val="restart"/>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施工——生态环境保护</w:t>
                  </w: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施工现场使用带油料的机械器具，应采取措施防止油料跑、冒、滴、漏，防止对土壤和水体造成污染。</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spacing w:val="-6"/>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6"/>
                      <w:kern w:val="2"/>
                      <w:sz w:val="21"/>
                      <w:szCs w:val="21"/>
                      <w:u w:val="none"/>
                      <w14:textFill>
                        <w14:solidFill>
                          <w14:schemeClr w14:val="tx1"/>
                        </w14:solidFill>
                      </w14:textFill>
                    </w:rPr>
                    <w:t>本环评要求施工单位加强对施工现场使用带油的机械器具的检修和维护，采取措施防止跑、冒、滴、漏油。同时要求施工单位在施工结后对裸露地表进行硬化或铺设碎石。</w:t>
                  </w:r>
                </w:p>
              </w:tc>
              <w:tc>
                <w:tcPr>
                  <w:tcW w:w="481" w:type="pct"/>
                  <w:noWrap w:val="0"/>
                  <w:vAlign w:val="center"/>
                </w:tcPr>
                <w:p>
                  <w:pPr>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05"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施工结束后，应及时清理施工现场，因地制宜进行土地功能恢复。</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spacing w:val="-6"/>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6"/>
                      <w:kern w:val="2"/>
                      <w:sz w:val="21"/>
                      <w:szCs w:val="21"/>
                      <w:u w:val="none"/>
                      <w14:textFill>
                        <w14:solidFill>
                          <w14:schemeClr w14:val="tx1"/>
                        </w14:solidFill>
                      </w14:textFill>
                    </w:rPr>
                    <w:t>项目施工结束后采取本土植物恢复施工场地，因地制宜进行土地功能恢复。</w:t>
                  </w:r>
                </w:p>
              </w:tc>
              <w:tc>
                <w:tcPr>
                  <w:tcW w:w="481" w:type="pct"/>
                  <w:noWrap w:val="0"/>
                  <w:vAlign w:val="center"/>
                </w:tcPr>
                <w:p>
                  <w:pPr>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restar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w:t>
                  </w:r>
                </w:p>
              </w:tc>
              <w:tc>
                <w:tcPr>
                  <w:tcW w:w="505" w:type="pct"/>
                  <w:vMerge w:val="restart"/>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施工——水环境保护</w:t>
                  </w: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施工期间禁止向水体排放、倾倒垃圾、弃土、弃渣，禁止排放未经处理的钻浆等废弃物。</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项目施工期</w:t>
                  </w:r>
                  <w:r>
                    <w:rPr>
                      <w:rFonts w:hint="default" w:ascii="Times New Roman" w:hAnsi="Times New Roman" w:cs="Times New Roman"/>
                      <w:b w:val="0"/>
                      <w:bCs w:val="0"/>
                      <w:caps w:val="0"/>
                      <w:color w:val="000000" w:themeColor="text1"/>
                      <w:kern w:val="2"/>
                      <w:sz w:val="21"/>
                      <w:szCs w:val="21"/>
                      <w:u w:val="none"/>
                      <w:lang w:val="en-US" w:eastAsia="zh-CN"/>
                      <w14:textFill>
                        <w14:solidFill>
                          <w14:schemeClr w14:val="tx1"/>
                        </w14:solidFill>
                      </w14:textFill>
                    </w:rPr>
                    <w:t>产生的</w:t>
                  </w: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土石方</w:t>
                  </w:r>
                  <w:r>
                    <w:rPr>
                      <w:rFonts w:hint="default" w:ascii="Times New Roman" w:hAnsi="Times New Roman" w:cs="Times New Roman"/>
                      <w:b w:val="0"/>
                      <w:bCs w:val="0"/>
                      <w:caps w:val="0"/>
                      <w:color w:val="000000" w:themeColor="text1"/>
                      <w:kern w:val="2"/>
                      <w:sz w:val="21"/>
                      <w:szCs w:val="21"/>
                      <w:u w:val="none"/>
                      <w:lang w:val="en-US" w:eastAsia="zh-CN"/>
                      <w14:textFill>
                        <w14:solidFill>
                          <w14:schemeClr w14:val="tx1"/>
                        </w14:solidFill>
                      </w14:textFill>
                    </w:rPr>
                    <w:t>用于光伏场区回填</w:t>
                  </w: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。施工过程中产生</w:t>
                  </w:r>
                  <w:r>
                    <w:rPr>
                      <w:rFonts w:hint="eastAsia" w:ascii="Times New Roman" w:hAnsi="Times New Roman" w:cs="Times New Roman"/>
                      <w:b w:val="0"/>
                      <w:bCs w:val="0"/>
                      <w:caps w:val="0"/>
                      <w:color w:val="000000" w:themeColor="text1"/>
                      <w:kern w:val="2"/>
                      <w:sz w:val="21"/>
                      <w:szCs w:val="21"/>
                      <w:u w:val="none"/>
                      <w:lang w:eastAsia="zh-CN"/>
                      <w14:textFill>
                        <w14:solidFill>
                          <w14:schemeClr w14:val="tx1"/>
                        </w14:solidFill>
                      </w14:textFill>
                    </w:rPr>
                    <w:t>的</w:t>
                  </w: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少量建筑垃圾分类收集</w:t>
                  </w:r>
                  <w:r>
                    <w:rPr>
                      <w:rFonts w:hint="default" w:ascii="Times New Roman" w:hAnsi="Times New Roman" w:cs="Times New Roman"/>
                      <w:b w:val="0"/>
                      <w:bCs w:val="0"/>
                      <w:caps w:val="0"/>
                      <w:color w:val="000000" w:themeColor="text1"/>
                      <w:kern w:val="2"/>
                      <w:sz w:val="21"/>
                      <w:szCs w:val="21"/>
                      <w:u w:val="none"/>
                      <w:lang w:eastAsia="zh-CN"/>
                      <w14:textFill>
                        <w14:solidFill>
                          <w14:schemeClr w14:val="tx1"/>
                        </w14:solidFill>
                      </w14:textFill>
                    </w:rPr>
                    <w:t>后</w:t>
                  </w: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按照当地管理部门要求处置。施工期生活垃圾集中收集于垃圾收集桶内，定期清运至周边村庄，依托当地生活垃圾收集处理设施处理</w:t>
                  </w:r>
                  <w:r>
                    <w:rPr>
                      <w:rFonts w:hint="default" w:ascii="Times New Roman" w:hAnsi="Times New Roman" w:cs="Times New Roman"/>
                      <w:b w:val="0"/>
                      <w:bCs w:val="0"/>
                      <w:caps w:val="0"/>
                      <w:color w:val="000000" w:themeColor="text1"/>
                      <w:kern w:val="2"/>
                      <w:sz w:val="21"/>
                      <w:szCs w:val="21"/>
                      <w:u w:val="none"/>
                      <w:lang w:eastAsia="zh-CN"/>
                      <w14:textFill>
                        <w14:solidFill>
                          <w14:schemeClr w14:val="tx1"/>
                        </w14:solidFill>
                      </w14:textFill>
                    </w:rPr>
                    <w:t>，</w:t>
                  </w: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严禁就地焚烧垃圾。项目施工期固体废物处置率100%，禁止向水体排放、倾倒垃圾、弃土、弃渣，禁止排放未经处理的钻浆等废弃物。</w:t>
                  </w:r>
                </w:p>
              </w:tc>
              <w:tc>
                <w:tcPr>
                  <w:tcW w:w="481" w:type="pct"/>
                  <w:noWrap w:val="0"/>
                  <w:vAlign w:val="center"/>
                </w:tcPr>
                <w:p>
                  <w:pPr>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05"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变电工程施工现场临时厕所的化粪池应进行防渗处理。</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项目对升压站区施工现场化粪池</w:t>
                  </w:r>
                  <w:r>
                    <w:rPr>
                      <w:rFonts w:hint="eastAsia" w:ascii="Times New Roman" w:hAnsi="Times New Roman" w:cs="Times New Roman"/>
                      <w:b w:val="0"/>
                      <w:bCs w:val="0"/>
                      <w:caps w:val="0"/>
                      <w:color w:val="000000" w:themeColor="text1"/>
                      <w:kern w:val="2"/>
                      <w:sz w:val="21"/>
                      <w:szCs w:val="21"/>
                      <w:u w:val="none"/>
                      <w:lang w:eastAsia="zh-CN"/>
                      <w14:textFill>
                        <w14:solidFill>
                          <w14:schemeClr w14:val="tx1"/>
                        </w14:solidFill>
                      </w14:textFill>
                    </w:rPr>
                    <w:t>提出</w:t>
                  </w: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防渗处理设计</w:t>
                  </w:r>
                  <w:r>
                    <w:rPr>
                      <w:rFonts w:hint="default" w:ascii="Times New Roman" w:hAnsi="Times New Roman" w:cs="Times New Roman"/>
                      <w:b w:val="0"/>
                      <w:bCs w:val="0"/>
                      <w:caps w:val="0"/>
                      <w:color w:val="000000" w:themeColor="text1"/>
                      <w:kern w:val="2"/>
                      <w:sz w:val="21"/>
                      <w:szCs w:val="21"/>
                      <w:u w:val="none"/>
                      <w:lang w:val="en-US" w:eastAsia="zh-CN"/>
                      <w14:textFill>
                        <w14:solidFill>
                          <w14:schemeClr w14:val="tx1"/>
                        </w14:solidFill>
                      </w14:textFill>
                    </w:rPr>
                    <w:t>要求</w:t>
                  </w: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w:t>
                  </w:r>
                </w:p>
              </w:tc>
              <w:tc>
                <w:tcPr>
                  <w:tcW w:w="481" w:type="pct"/>
                  <w:noWrap w:val="0"/>
                  <w:vAlign w:val="center"/>
                </w:tcPr>
                <w:p>
                  <w:pPr>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w:t>
                  </w:r>
                </w:p>
              </w:tc>
              <w:tc>
                <w:tcPr>
                  <w:tcW w:w="505" w:type="pct"/>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施工——大气环境保护</w:t>
                  </w: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施工过程中，应当加强对施工现场和物料运输的管理，在施工工地设置硬质围挡，保持道路清洁，管控料堆和渣土堆放，防治扬尘污染。</w:t>
                  </w:r>
                </w:p>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施工过程中，对易起尘的临时堆土、运输过程中的土石方等应采用密闭式防尘布（网）进行苫盖，施工面集中且有条件的地方宜采取酒水降尘等有效措施，减少易造成大气污染的施工作业。施工过程中，建设单位应当对裸露地面进行覆盖：暂时不能开工的建设用地超过三个月的，应当进行绿化、铺装或者遮盖。施工现场禁止将包装物、可燃垃圾等固体废弃物就地焚烧。</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本环评要求项目施工时，施工单位对粉</w:t>
                  </w:r>
                  <w:r>
                    <w:rPr>
                      <w:rFonts w:hint="eastAsia" w:ascii="Times New Roman" w:hAnsi="Times New Roman" w:cs="Times New Roman"/>
                      <w:b w:val="0"/>
                      <w:bCs w:val="0"/>
                      <w:caps w:val="0"/>
                      <w:color w:val="000000" w:themeColor="text1"/>
                      <w:kern w:val="2"/>
                      <w:sz w:val="21"/>
                      <w:szCs w:val="21"/>
                      <w:u w:val="none"/>
                      <w:lang w:eastAsia="zh-CN"/>
                      <w14:textFill>
                        <w14:solidFill>
                          <w14:schemeClr w14:val="tx1"/>
                        </w14:solidFill>
                      </w14:textFill>
                    </w:rPr>
                    <w:t>状</w:t>
                  </w: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物料</w:t>
                  </w:r>
                  <w:r>
                    <w:rPr>
                      <w:rFonts w:hint="eastAsia" w:ascii="Times New Roman" w:hAnsi="Times New Roman" w:cs="Times New Roman"/>
                      <w:b w:val="0"/>
                      <w:bCs w:val="0"/>
                      <w:caps w:val="0"/>
                      <w:color w:val="000000" w:themeColor="text1"/>
                      <w:kern w:val="2"/>
                      <w:sz w:val="21"/>
                      <w:szCs w:val="21"/>
                      <w:u w:val="none"/>
                      <w:lang w:eastAsia="zh-CN"/>
                      <w14:textFill>
                        <w14:solidFill>
                          <w14:schemeClr w14:val="tx1"/>
                        </w14:solidFill>
                      </w14:textFill>
                    </w:rPr>
                    <w:t>运输、堆放</w:t>
                  </w: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采取篷布覆盖，施工现场进行酒水降尘等措施，以减少工程</w:t>
                  </w:r>
                  <w:r>
                    <w:rPr>
                      <w:rFonts w:hint="eastAsia" w:ascii="Times New Roman" w:hAnsi="Times New Roman" w:cs="Times New Roman"/>
                      <w:b w:val="0"/>
                      <w:bCs w:val="0"/>
                      <w:caps w:val="0"/>
                      <w:color w:val="000000" w:themeColor="text1"/>
                      <w:kern w:val="2"/>
                      <w:sz w:val="21"/>
                      <w:szCs w:val="21"/>
                      <w:u w:val="none"/>
                      <w:lang w:eastAsia="zh-CN"/>
                      <w14:textFill>
                        <w14:solidFill>
                          <w14:schemeClr w14:val="tx1"/>
                        </w14:solidFill>
                      </w14:textFill>
                    </w:rPr>
                    <w:t>施工</w:t>
                  </w: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对大气环境的影响。</w:t>
                  </w:r>
                </w:p>
              </w:tc>
              <w:tc>
                <w:tcPr>
                  <w:tcW w:w="481" w:type="pct"/>
                  <w:noWrap w:val="0"/>
                  <w:vAlign w:val="center"/>
                </w:tcPr>
                <w:p>
                  <w:pPr>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505" w:type="pct"/>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施工——固体废弃物处置</w:t>
                  </w: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施工过程中产生的土石方、建筑垃圾、生活垃圾应分类集中收集，并按国家和地方有关规定定期进行清运处置，施工完成后及时做好迹地清理工作。</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项目土石方</w:t>
                  </w:r>
                  <w:r>
                    <w:rPr>
                      <w:rFonts w:hint="default" w:ascii="Times New Roman" w:hAnsi="Times New Roman" w:cs="Times New Roman"/>
                      <w:b w:val="0"/>
                      <w:bCs w:val="0"/>
                      <w:caps w:val="0"/>
                      <w:color w:val="000000" w:themeColor="text1"/>
                      <w:kern w:val="2"/>
                      <w:sz w:val="21"/>
                      <w:szCs w:val="21"/>
                      <w:u w:val="none"/>
                      <w:lang w:val="en-US" w:eastAsia="zh-CN"/>
                      <w14:textFill>
                        <w14:solidFill>
                          <w14:schemeClr w14:val="tx1"/>
                        </w14:solidFill>
                      </w14:textFill>
                    </w:rPr>
                    <w:t>用于光伏场区回填</w:t>
                  </w:r>
                  <w: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t>，建筑垃圾、生活垃圾进行分类集中收集，并按国家和地方有关规定定期进行清运处置，施工完成后及时做好迹地清理工作。</w:t>
                  </w:r>
                </w:p>
              </w:tc>
              <w:tc>
                <w:tcPr>
                  <w:tcW w:w="481" w:type="pct"/>
                  <w:noWrap w:val="0"/>
                  <w:vAlign w:val="center"/>
                </w:tcPr>
                <w:p>
                  <w:pPr>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b w:val="0"/>
                      <w:bCs w:val="0"/>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restar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caps w:val="0"/>
                      <w:color w:val="000000" w:themeColor="text1"/>
                      <w:kern w:val="2"/>
                      <w:sz w:val="21"/>
                      <w:szCs w:val="21"/>
                      <w:u w:val="none"/>
                      <w:lang w:val="en-US" w:eastAsia="zh-CN"/>
                      <w14:textFill>
                        <w14:solidFill>
                          <w14:schemeClr w14:val="tx1"/>
                        </w14:solidFill>
                      </w14:textFill>
                    </w:rPr>
                  </w:pPr>
                  <w:r>
                    <w:rPr>
                      <w:rFonts w:hint="default" w:ascii="Times New Roman" w:hAnsi="Times New Roman" w:eastAsia="宋体" w:cs="Times New Roman"/>
                      <w:caps w:val="0"/>
                      <w:color w:val="000000" w:themeColor="text1"/>
                      <w:kern w:val="2"/>
                      <w:sz w:val="21"/>
                      <w:szCs w:val="21"/>
                      <w:u w:val="none"/>
                      <w:lang w:val="en-US" w:eastAsia="zh-CN"/>
                      <w14:textFill>
                        <w14:solidFill>
                          <w14:schemeClr w14:val="tx1"/>
                        </w14:solidFill>
                      </w14:textFill>
                    </w:rPr>
                    <w:t>11</w:t>
                  </w:r>
                </w:p>
              </w:tc>
              <w:tc>
                <w:tcPr>
                  <w:tcW w:w="505" w:type="pct"/>
                  <w:vMerge w:val="restar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caps w:val="0"/>
                      <w:color w:val="000000" w:themeColor="text1"/>
                      <w:kern w:val="2"/>
                      <w:sz w:val="21"/>
                      <w:szCs w:val="21"/>
                      <w:u w:val="none"/>
                      <w:lang w:val="en-US" w:eastAsia="zh-CN"/>
                      <w14:textFill>
                        <w14:solidFill>
                          <w14:schemeClr w14:val="tx1"/>
                        </w14:solidFill>
                      </w14:textFill>
                    </w:rPr>
                  </w:pPr>
                  <w:r>
                    <w:rPr>
                      <w:rFonts w:hint="default" w:ascii="Times New Roman" w:hAnsi="Times New Roman" w:eastAsia="宋体" w:cs="Times New Roman"/>
                      <w:caps w:val="0"/>
                      <w:color w:val="000000" w:themeColor="text1"/>
                      <w:kern w:val="2"/>
                      <w:sz w:val="21"/>
                      <w:szCs w:val="21"/>
                      <w:u w:val="none"/>
                      <w:lang w:val="en-US" w:eastAsia="zh-CN"/>
                      <w14:textFill>
                        <w14:solidFill>
                          <w14:schemeClr w14:val="tx1"/>
                        </w14:solidFill>
                      </w14:textFill>
                    </w:rPr>
                    <w:t>运行</w:t>
                  </w: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caps w:val="0"/>
                      <w:color w:val="000000" w:themeColor="text1"/>
                      <w:kern w:val="2"/>
                      <w:sz w:val="21"/>
                      <w:szCs w:val="21"/>
                      <w:u w:val="none"/>
                      <w14:textFill>
                        <w14:solidFill>
                          <w14:schemeClr w14:val="tx1"/>
                        </w14:solidFill>
                      </w14:textFill>
                    </w:rPr>
                  </w:pPr>
                  <w:r>
                    <w:rPr>
                      <w:rFonts w:hint="default" w:ascii="Times New Roman" w:hAnsi="Times New Roman" w:eastAsia="宋体" w:cs="Times New Roman"/>
                      <w:caps w:val="0"/>
                      <w:color w:val="000000" w:themeColor="text1"/>
                      <w:kern w:val="2"/>
                      <w:sz w:val="21"/>
                      <w:szCs w:val="21"/>
                      <w:u w:val="none"/>
                      <w14:textFill>
                        <w14:solidFill>
                          <w14:schemeClr w14:val="tx1"/>
                        </w14:solidFill>
                      </w14:textFill>
                    </w:rPr>
                    <w:t>运行期做好环境保护设施的维护和运行管理，加强巡查和检查，保障发挥环境保护作用。定期开展环境监测，确保电磁、噪声、废水排放符合GB8702、GB12348、GB8978等国家标准要求，并及时解决公众合理的环境保护诉求。</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caps w:val="0"/>
                      <w:color w:val="000000" w:themeColor="text1"/>
                      <w:kern w:val="2"/>
                      <w:sz w:val="21"/>
                      <w:szCs w:val="21"/>
                      <w:u w:val="none"/>
                      <w:lang w:eastAsia="zh-CN"/>
                      <w14:textFill>
                        <w14:solidFill>
                          <w14:schemeClr w14:val="tx1"/>
                        </w14:solidFill>
                      </w14:textFill>
                    </w:rPr>
                  </w:pPr>
                  <w:r>
                    <w:rPr>
                      <w:rFonts w:hint="default" w:ascii="Times New Roman" w:hAnsi="Times New Roman" w:eastAsia="宋体" w:cs="Times New Roman"/>
                      <w:caps w:val="0"/>
                      <w:color w:val="000000" w:themeColor="text1"/>
                      <w:kern w:val="2"/>
                      <w:sz w:val="21"/>
                      <w:szCs w:val="21"/>
                      <w:u w:val="none"/>
                      <w:lang w:eastAsia="zh-CN"/>
                      <w14:textFill>
                        <w14:solidFill>
                          <w14:schemeClr w14:val="tx1"/>
                        </w14:solidFill>
                      </w14:textFill>
                    </w:rPr>
                    <w:t>已制定环保管理制度和监测计划</w:t>
                  </w:r>
                </w:p>
              </w:tc>
              <w:tc>
                <w:tcPr>
                  <w:tcW w:w="481" w:type="pct"/>
                  <w:noWrap w:val="0"/>
                  <w:vAlign w:val="center"/>
                </w:tcPr>
                <w:p>
                  <w:pPr>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caps w:val="0"/>
                      <w:color w:val="000000" w:themeColor="text1"/>
                      <w:kern w:val="2"/>
                      <w:sz w:val="21"/>
                      <w:szCs w:val="21"/>
                      <w:u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05"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leftChars="0" w:right="0" w:rightChars="0" w:firstLine="0" w:firstLineChars="0"/>
                    <w:jc w:val="center"/>
                    <w:rPr>
                      <w:rFonts w:hint="default" w:ascii="Times New Roman" w:hAnsi="Times New Roman" w:eastAsia="宋体" w:cs="Times New Roman"/>
                      <w:cap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u w:val="none"/>
                      <w14:textFill>
                        <w14:solidFill>
                          <w14:schemeClr w14:val="tx1"/>
                        </w14:solidFill>
                      </w14:textFill>
                    </w:rPr>
                    <w:t>鼓励位于城市中心区域的变电站开展电磁和声环境在线监测，监测结果以方便公众知晓的方式予以公开。</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leftChars="0" w:right="0" w:rightChars="0" w:firstLine="0" w:firstLineChars="0"/>
                    <w:jc w:val="center"/>
                    <w:rPr>
                      <w:rFonts w:hint="default" w:ascii="Times New Roman" w:hAnsi="Times New Roman" w:eastAsia="宋体" w:cs="Times New Roman"/>
                      <w:cap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u w:val="none"/>
                      <w:lang w:eastAsia="zh-CN"/>
                      <w14:textFill>
                        <w14:solidFill>
                          <w14:schemeClr w14:val="tx1"/>
                        </w14:solidFill>
                      </w14:textFill>
                    </w:rPr>
                    <w:t>项目</w:t>
                  </w:r>
                  <w:r>
                    <w:rPr>
                      <w:rFonts w:hint="eastAsia" w:ascii="Times New Roman" w:hAnsi="Times New Roman" w:cs="Times New Roman"/>
                      <w:caps w:val="0"/>
                      <w:color w:val="000000" w:themeColor="text1"/>
                      <w:kern w:val="2"/>
                      <w:sz w:val="21"/>
                      <w:szCs w:val="21"/>
                      <w:u w:val="none"/>
                      <w:lang w:eastAsia="zh-CN"/>
                      <w14:textFill>
                        <w14:solidFill>
                          <w14:schemeClr w14:val="tx1"/>
                        </w14:solidFill>
                      </w14:textFill>
                    </w:rPr>
                    <w:t>位于</w:t>
                  </w:r>
                  <w:r>
                    <w:rPr>
                      <w:rFonts w:hint="default" w:ascii="Times New Roman" w:hAnsi="Times New Roman" w:eastAsia="宋体" w:cs="Times New Roman"/>
                      <w:caps w:val="0"/>
                      <w:color w:val="000000" w:themeColor="text1"/>
                      <w:kern w:val="2"/>
                      <w:sz w:val="21"/>
                      <w:szCs w:val="21"/>
                      <w:u w:val="none"/>
                      <w:lang w:eastAsia="zh-CN"/>
                      <w14:textFill>
                        <w14:solidFill>
                          <w14:schemeClr w14:val="tx1"/>
                        </w14:solidFill>
                      </w14:textFill>
                    </w:rPr>
                    <w:t>农村地区</w:t>
                  </w:r>
                </w:p>
              </w:tc>
              <w:tc>
                <w:tcPr>
                  <w:tcW w:w="481" w:type="pct"/>
                  <w:noWrap w:val="0"/>
                  <w:vAlign w:val="center"/>
                </w:tcPr>
                <w:p>
                  <w:pPr>
                    <w:keepNext w:val="0"/>
                    <w:keepLines w:val="0"/>
                    <w:widowControl w:val="0"/>
                    <w:suppressLineNumbers w:val="0"/>
                    <w:autoSpaceDE w:val="0"/>
                    <w:autoSpaceDN w:val="0"/>
                    <w:adjustRightInd w:val="0"/>
                    <w:spacing w:before="0" w:beforeLines="0" w:beforeAutospacing="0" w:after="0" w:afterLines="0" w:afterAutospacing="0"/>
                    <w:ind w:left="0" w:leftChars="0" w:right="0" w:rightChars="0" w:firstLine="0" w:firstLineChars="0"/>
                    <w:jc w:val="center"/>
                    <w:rPr>
                      <w:rFonts w:hint="default" w:ascii="Times New Roman" w:hAnsi="Times New Roman" w:eastAsia="宋体" w:cs="Times New Roman"/>
                      <w:cap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caps w:val="0"/>
                      <w:color w:val="000000" w:themeColor="text1"/>
                      <w:kern w:val="2"/>
                      <w:sz w:val="21"/>
                      <w:szCs w:val="21"/>
                      <w:u w:val="none"/>
                      <w14:textFill>
                        <w14:solidFill>
                          <w14:schemeClr w14:val="tx1"/>
                        </w14:solidFill>
                      </w14:textFill>
                    </w:rPr>
                  </w:pPr>
                </w:p>
              </w:tc>
              <w:tc>
                <w:tcPr>
                  <w:tcW w:w="505"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caps w:val="0"/>
                      <w:color w:val="000000" w:themeColor="text1"/>
                      <w:kern w:val="2"/>
                      <w:sz w:val="21"/>
                      <w:szCs w:val="21"/>
                      <w:u w:val="none"/>
                      <w14:textFill>
                        <w14:solidFill>
                          <w14:schemeClr w14:val="tx1"/>
                        </w14:solidFill>
                      </w14:textFill>
                    </w:rPr>
                  </w:pP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leftChars="0" w:right="0" w:rightChars="0" w:firstLine="0" w:firstLineChars="0"/>
                    <w:jc w:val="center"/>
                    <w:rPr>
                      <w:rFonts w:hint="default" w:ascii="Times New Roman" w:hAnsi="Times New Roman" w:eastAsia="宋体" w:cs="Times New Roman"/>
                      <w:cap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u w:val="none"/>
                      <w14:textFill>
                        <w14:solidFill>
                          <w14:schemeClr w14:val="tx1"/>
                        </w14:solidFill>
                      </w14:textFill>
                    </w:rPr>
                    <w:t>主要声源设备大修前后，应对变电工程厂界排放噪声和周围声环境敏感目标环境噪声进行监测，监测结果向社会公开。</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leftChars="0" w:right="0" w:rightChars="0" w:firstLine="0" w:firstLineChars="0"/>
                    <w:jc w:val="center"/>
                    <w:rPr>
                      <w:rFonts w:hint="default" w:ascii="Times New Roman" w:hAnsi="Times New Roman" w:eastAsia="宋体" w:cs="Times New Roman"/>
                      <w:cap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u w:val="none"/>
                      <w:lang w:eastAsia="zh-CN"/>
                      <w14:textFill>
                        <w14:solidFill>
                          <w14:schemeClr w14:val="tx1"/>
                        </w14:solidFill>
                      </w14:textFill>
                    </w:rPr>
                    <w:t>已制定相关监测计划</w:t>
                  </w:r>
                </w:p>
              </w:tc>
              <w:tc>
                <w:tcPr>
                  <w:tcW w:w="481" w:type="pct"/>
                  <w:noWrap w:val="0"/>
                  <w:vAlign w:val="center"/>
                </w:tcPr>
                <w:p>
                  <w:pPr>
                    <w:keepNext w:val="0"/>
                    <w:keepLines w:val="0"/>
                    <w:widowControl w:val="0"/>
                    <w:suppressLineNumbers w:val="0"/>
                    <w:autoSpaceDE w:val="0"/>
                    <w:autoSpaceDN w:val="0"/>
                    <w:adjustRightInd w:val="0"/>
                    <w:spacing w:before="0" w:beforeLines="0" w:beforeAutospacing="0" w:after="0" w:afterLines="0" w:afterAutospacing="0"/>
                    <w:ind w:left="0" w:leftChars="0" w:right="0" w:rightChars="0" w:firstLine="0" w:firstLineChars="0"/>
                    <w:jc w:val="center"/>
                    <w:rPr>
                      <w:rFonts w:hint="default" w:ascii="Times New Roman" w:hAnsi="Times New Roman" w:eastAsia="宋体" w:cs="Times New Roman"/>
                      <w:cap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caps w:val="0"/>
                      <w:color w:val="000000" w:themeColor="text1"/>
                      <w:kern w:val="2"/>
                      <w:sz w:val="21"/>
                      <w:szCs w:val="21"/>
                      <w:u w:val="none"/>
                      <w14:textFill>
                        <w14:solidFill>
                          <w14:schemeClr w14:val="tx1"/>
                        </w14:solidFill>
                      </w14:textFill>
                    </w:rPr>
                  </w:pPr>
                </w:p>
              </w:tc>
              <w:tc>
                <w:tcPr>
                  <w:tcW w:w="505"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caps w:val="0"/>
                      <w:color w:val="000000" w:themeColor="text1"/>
                      <w:kern w:val="2"/>
                      <w:sz w:val="21"/>
                      <w:szCs w:val="21"/>
                      <w:u w:val="none"/>
                      <w14:textFill>
                        <w14:solidFill>
                          <w14:schemeClr w14:val="tx1"/>
                        </w14:solidFill>
                      </w14:textFill>
                    </w:rPr>
                  </w:pP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leftChars="0" w:right="0" w:rightChars="0" w:firstLine="0" w:firstLineChars="0"/>
                    <w:jc w:val="center"/>
                    <w:rPr>
                      <w:rFonts w:hint="default" w:ascii="Times New Roman" w:hAnsi="Times New Roman" w:eastAsia="宋体" w:cs="Times New Roman"/>
                      <w:cap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u w:val="none"/>
                      <w14:textFill>
                        <w14:solidFill>
                          <w14:schemeClr w14:val="tx1"/>
                        </w14:solidFill>
                      </w14:textFill>
                    </w:rPr>
                    <w:t>运行期应对事故油池的完好情况进行检查，确保无渗漏、无溢流。</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leftChars="0" w:right="0" w:rightChars="0" w:firstLine="0" w:firstLineChars="0"/>
                    <w:jc w:val="center"/>
                    <w:rPr>
                      <w:rFonts w:hint="default" w:ascii="Times New Roman" w:hAnsi="Times New Roman" w:eastAsia="宋体" w:cs="Times New Roman"/>
                      <w:cap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u w:val="none"/>
                      <w:lang w:eastAsia="zh-CN"/>
                      <w14:textFill>
                        <w14:solidFill>
                          <w14:schemeClr w14:val="tx1"/>
                        </w14:solidFill>
                      </w14:textFill>
                    </w:rPr>
                    <w:t>已</w:t>
                  </w:r>
                  <w:r>
                    <w:rPr>
                      <w:rFonts w:hint="eastAsia" w:ascii="Times New Roman" w:hAnsi="Times New Roman" w:cs="Times New Roman"/>
                      <w:caps w:val="0"/>
                      <w:color w:val="000000" w:themeColor="text1"/>
                      <w:kern w:val="2"/>
                      <w:sz w:val="21"/>
                      <w:szCs w:val="21"/>
                      <w:u w:val="none"/>
                      <w:lang w:eastAsia="zh-CN"/>
                      <w14:textFill>
                        <w14:solidFill>
                          <w14:schemeClr w14:val="tx1"/>
                        </w14:solidFill>
                      </w14:textFill>
                    </w:rPr>
                    <w:t>要求</w:t>
                  </w:r>
                  <w:r>
                    <w:rPr>
                      <w:rFonts w:hint="default" w:ascii="Times New Roman" w:hAnsi="Times New Roman" w:eastAsia="宋体" w:cs="Times New Roman"/>
                      <w:caps w:val="0"/>
                      <w:color w:val="000000" w:themeColor="text1"/>
                      <w:kern w:val="2"/>
                      <w:sz w:val="21"/>
                      <w:szCs w:val="21"/>
                      <w:u w:val="none"/>
                      <w:lang w:eastAsia="zh-CN"/>
                      <w14:textFill>
                        <w14:solidFill>
                          <w14:schemeClr w14:val="tx1"/>
                        </w14:solidFill>
                      </w14:textFill>
                    </w:rPr>
                    <w:t>设置事故油池并做好检查规定</w:t>
                  </w:r>
                </w:p>
              </w:tc>
              <w:tc>
                <w:tcPr>
                  <w:tcW w:w="481" w:type="pct"/>
                  <w:noWrap w:val="0"/>
                  <w:vAlign w:val="center"/>
                </w:tcPr>
                <w:p>
                  <w:pPr>
                    <w:keepNext w:val="0"/>
                    <w:keepLines w:val="0"/>
                    <w:widowControl w:val="0"/>
                    <w:suppressLineNumbers w:val="0"/>
                    <w:autoSpaceDE w:val="0"/>
                    <w:autoSpaceDN w:val="0"/>
                    <w:adjustRightInd w:val="0"/>
                    <w:spacing w:before="0" w:beforeLines="0" w:beforeAutospacing="0" w:after="0" w:afterLines="0" w:afterAutospacing="0"/>
                    <w:ind w:left="0" w:leftChars="0" w:right="0" w:rightChars="0" w:firstLine="0" w:firstLineChars="0"/>
                    <w:jc w:val="center"/>
                    <w:rPr>
                      <w:rFonts w:hint="default" w:ascii="Times New Roman" w:hAnsi="Times New Roman" w:eastAsia="宋体" w:cs="Times New Roman"/>
                      <w:cap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caps w:val="0"/>
                      <w:color w:val="000000" w:themeColor="text1"/>
                      <w:kern w:val="2"/>
                      <w:sz w:val="21"/>
                      <w:szCs w:val="21"/>
                      <w:u w:val="none"/>
                      <w14:textFill>
                        <w14:solidFill>
                          <w14:schemeClr w14:val="tx1"/>
                        </w14:solidFill>
                      </w14:textFill>
                    </w:rPr>
                  </w:pPr>
                </w:p>
              </w:tc>
              <w:tc>
                <w:tcPr>
                  <w:tcW w:w="505"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caps w:val="0"/>
                      <w:color w:val="000000" w:themeColor="text1"/>
                      <w:kern w:val="2"/>
                      <w:sz w:val="21"/>
                      <w:szCs w:val="21"/>
                      <w:u w:val="none"/>
                      <w14:textFill>
                        <w14:solidFill>
                          <w14:schemeClr w14:val="tx1"/>
                        </w14:solidFill>
                      </w14:textFill>
                    </w:rPr>
                  </w:pP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cap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u w:val="none"/>
                      <w14:textFill>
                        <w14:solidFill>
                          <w14:schemeClr w14:val="tx1"/>
                        </w14:solidFill>
                      </w14:textFill>
                    </w:rPr>
                    <w:t>变电工程运行过程中产生的变压器油、高抗油等矿物油应进行回收处理。废矿物油和废铅酸蓄电池作为危险废物应交由有资质的单位回收处理，严禁随意丢弃。不能立即回收处理的应暂存在危险废物暂存间或暂存区。</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leftChars="0" w:right="0" w:rightChars="0" w:firstLine="0" w:firstLineChars="0"/>
                    <w:jc w:val="center"/>
                    <w:rPr>
                      <w:rFonts w:hint="default" w:ascii="Times New Roman" w:hAnsi="Times New Roman" w:eastAsia="宋体" w:cs="Times New Roman"/>
                      <w:cap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u w:val="none"/>
                      <w:lang w:eastAsia="zh-CN"/>
                      <w14:textFill>
                        <w14:solidFill>
                          <w14:schemeClr w14:val="tx1"/>
                        </w14:solidFill>
                      </w14:textFill>
                    </w:rPr>
                    <w:t>项目为新建项目，要求对运营产生的废矿物油</w:t>
                  </w:r>
                  <w:r>
                    <w:rPr>
                      <w:rFonts w:hint="eastAsia" w:ascii="Times New Roman" w:hAnsi="Times New Roman" w:cs="Times New Roman"/>
                      <w:caps w:val="0"/>
                      <w:color w:val="000000" w:themeColor="text1"/>
                      <w:kern w:val="2"/>
                      <w:sz w:val="21"/>
                      <w:szCs w:val="21"/>
                      <w:u w:val="none"/>
                      <w:lang w:eastAsia="zh-CN"/>
                      <w14:textFill>
                        <w14:solidFill>
                          <w14:schemeClr w14:val="tx1"/>
                        </w14:solidFill>
                      </w14:textFill>
                    </w:rPr>
                    <w:t>设事故油池、</w:t>
                  </w:r>
                  <w:r>
                    <w:rPr>
                      <w:rFonts w:hint="default" w:ascii="Times New Roman" w:hAnsi="Times New Roman" w:eastAsia="宋体" w:cs="Times New Roman"/>
                      <w:caps w:val="0"/>
                      <w:color w:val="000000" w:themeColor="text1"/>
                      <w:kern w:val="2"/>
                      <w:sz w:val="21"/>
                      <w:szCs w:val="21"/>
                      <w:u w:val="none"/>
                      <w:lang w:eastAsia="zh-CN"/>
                      <w14:textFill>
                        <w14:solidFill>
                          <w14:schemeClr w14:val="tx1"/>
                        </w14:solidFill>
                      </w14:textFill>
                    </w:rPr>
                    <w:t>废蓄电池设危废暂存仓暂存并委托有资质单位处理</w:t>
                  </w:r>
                </w:p>
              </w:tc>
              <w:tc>
                <w:tcPr>
                  <w:tcW w:w="481" w:type="pct"/>
                  <w:noWrap w:val="0"/>
                  <w:vAlign w:val="center"/>
                </w:tcPr>
                <w:p>
                  <w:pPr>
                    <w:keepNext w:val="0"/>
                    <w:keepLines w:val="0"/>
                    <w:widowControl w:val="0"/>
                    <w:suppressLineNumbers w:val="0"/>
                    <w:autoSpaceDE w:val="0"/>
                    <w:autoSpaceDN w:val="0"/>
                    <w:adjustRightInd w:val="0"/>
                    <w:spacing w:before="0" w:beforeLines="0" w:beforeAutospacing="0" w:after="0" w:afterLines="0" w:afterAutospacing="0"/>
                    <w:ind w:left="0" w:leftChars="0" w:right="0" w:rightChars="0" w:firstLine="0" w:firstLineChars="0"/>
                    <w:jc w:val="center"/>
                    <w:rPr>
                      <w:rFonts w:hint="default" w:ascii="Times New Roman" w:hAnsi="Times New Roman" w:eastAsia="宋体" w:cs="Times New Roman"/>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aps w:val="0"/>
                      <w:color w:val="000000" w:themeColor="text1"/>
                      <w:kern w:val="2"/>
                      <w:sz w:val="21"/>
                      <w:szCs w:val="21"/>
                      <w:u w:val="none"/>
                      <w:lang w:val="en-US" w:eastAsia="zh-CN" w:bidi="ar"/>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caps w:val="0"/>
                      <w:color w:val="000000" w:themeColor="text1"/>
                      <w:kern w:val="2"/>
                      <w:sz w:val="21"/>
                      <w:szCs w:val="21"/>
                      <w:u w:val="none"/>
                      <w14:textFill>
                        <w14:solidFill>
                          <w14:schemeClr w14:val="tx1"/>
                        </w14:solidFill>
                      </w14:textFill>
                    </w:rPr>
                  </w:pPr>
                </w:p>
              </w:tc>
              <w:tc>
                <w:tcPr>
                  <w:tcW w:w="505" w:type="pct"/>
                  <w:vMerge w:val="continue"/>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right="0" w:firstLine="0" w:firstLineChars="0"/>
                    <w:jc w:val="center"/>
                    <w:rPr>
                      <w:rFonts w:hint="default" w:ascii="Times New Roman" w:hAnsi="Times New Roman" w:eastAsia="宋体" w:cs="Times New Roman"/>
                      <w:caps w:val="0"/>
                      <w:color w:val="000000" w:themeColor="text1"/>
                      <w:kern w:val="2"/>
                      <w:sz w:val="21"/>
                      <w:szCs w:val="21"/>
                      <w:u w:val="none"/>
                      <w14:textFill>
                        <w14:solidFill>
                          <w14:schemeClr w14:val="tx1"/>
                        </w14:solidFill>
                      </w14:textFill>
                    </w:rPr>
                  </w:pPr>
                </w:p>
              </w:tc>
              <w:tc>
                <w:tcPr>
                  <w:tcW w:w="1982"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leftChars="0" w:right="0" w:rightChars="0" w:firstLine="0" w:firstLineChars="0"/>
                    <w:jc w:val="center"/>
                    <w:rPr>
                      <w:rFonts w:hint="default" w:ascii="Times New Roman" w:hAnsi="Times New Roman" w:eastAsia="宋体" w:cs="Times New Roman"/>
                      <w:cap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u w:val="none"/>
                      <w14:textFill>
                        <w14:solidFill>
                          <w14:schemeClr w14:val="tx1"/>
                        </w14:solidFill>
                      </w14:textFill>
                    </w:rPr>
                    <w:t>针对变电工程站内可能发生的突发环境事件，应按照HJ169等国家有关规定制定突发环境事件应急预案，并定期演练。</w:t>
                  </w:r>
                </w:p>
              </w:tc>
              <w:tc>
                <w:tcPr>
                  <w:tcW w:w="1709"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leftChars="0" w:right="0" w:rightChars="0" w:firstLine="0" w:firstLineChars="0"/>
                    <w:jc w:val="center"/>
                    <w:rPr>
                      <w:rFonts w:hint="default" w:ascii="Times New Roman" w:hAnsi="Times New Roman" w:eastAsia="宋体" w:cs="Times New Roman"/>
                      <w:cap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u w:val="none"/>
                      <w:lang w:eastAsia="zh-CN"/>
                      <w14:textFill>
                        <w14:solidFill>
                          <w14:schemeClr w14:val="tx1"/>
                        </w14:solidFill>
                      </w14:textFill>
                    </w:rPr>
                    <w:t>环评后拟制定突发环境事件应急预案，并定期演练</w:t>
                  </w:r>
                </w:p>
              </w:tc>
              <w:tc>
                <w:tcPr>
                  <w:tcW w:w="481" w:type="pct"/>
                  <w:noWrap w:val="0"/>
                  <w:vAlign w:val="center"/>
                </w:tcPr>
                <w:p>
                  <w:pPr>
                    <w:pStyle w:val="19"/>
                    <w:keepNext w:val="0"/>
                    <w:keepLines w:val="0"/>
                    <w:widowControl w:val="0"/>
                    <w:suppressLineNumbers w:val="0"/>
                    <w:autoSpaceDE w:val="0"/>
                    <w:autoSpaceDN w:val="0"/>
                    <w:adjustRightInd w:val="0"/>
                    <w:spacing w:before="0" w:beforeLines="0" w:beforeAutospacing="0" w:after="0" w:afterLines="0" w:afterAutospacing="0"/>
                    <w:ind w:left="0" w:leftChars="0" w:right="0" w:rightChars="0" w:firstLine="0" w:firstLineChars="0"/>
                    <w:jc w:val="center"/>
                    <w:rPr>
                      <w:rFonts w:hint="default" w:ascii="Times New Roman" w:hAnsi="Times New Roman" w:eastAsia="宋体" w:cs="Times New Roman"/>
                      <w:caps w:val="0"/>
                      <w:color w:val="000000" w:themeColor="text1"/>
                      <w:kern w:val="2"/>
                      <w:sz w:val="21"/>
                      <w:szCs w:val="21"/>
                      <w:u w:val="none"/>
                      <w:lang w:val="en-US" w:eastAsia="zh-CN" w:bidi="ar"/>
                      <w14:textFill>
                        <w14:solidFill>
                          <w14:schemeClr w14:val="tx1"/>
                        </w14:solidFill>
                      </w14:textFill>
                    </w:rPr>
                  </w:pPr>
                  <w:r>
                    <w:rPr>
                      <w:rFonts w:hint="default" w:ascii="Times New Roman" w:hAnsi="Times New Roman" w:eastAsia="宋体" w:cs="Times New Roman"/>
                      <w:caps w:val="0"/>
                      <w:color w:val="000000" w:themeColor="text1"/>
                      <w:kern w:val="2"/>
                      <w:sz w:val="21"/>
                      <w:szCs w:val="21"/>
                      <w:u w:val="none"/>
                      <w:lang w:val="en-US" w:eastAsia="zh-CN" w:bidi="ar"/>
                      <w14:textFill>
                        <w14:solidFill>
                          <w14:schemeClr w14:val="tx1"/>
                        </w14:solidFill>
                      </w14:textFill>
                    </w:rPr>
                    <w:t>符合</w:t>
                  </w:r>
                </w:p>
              </w:tc>
            </w:tr>
          </w:tbl>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kern w:val="0"/>
                <w:sz w:val="24"/>
                <w:szCs w:val="24"/>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u w:val="none" w:color="auto"/>
                <w:lang w:val="en-US" w:eastAsia="zh-CN"/>
                <w14:textFill>
                  <w14:solidFill>
                    <w14:schemeClr w14:val="tx1"/>
                  </w14:solidFill>
                </w14:textFill>
              </w:rPr>
              <w:t>综上，本工程符合《输变电建设项目环境保护技术要求》（HJ1113-2020）相关规定。</w:t>
            </w:r>
          </w:p>
          <w:p>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000000" w:themeColor="text1"/>
                <w:kern w:val="0"/>
                <w:sz w:val="24"/>
                <w:szCs w:val="21"/>
                <w:highlight w:val="none"/>
                <w14:textFill>
                  <w14:solidFill>
                    <w14:schemeClr w14:val="tx1"/>
                  </w14:solidFill>
                </w14:textFill>
              </w:rPr>
            </w:pPr>
            <w:r>
              <w:rPr>
                <w:rFonts w:hint="default" w:ascii="Times New Roman" w:hAnsi="Times New Roman" w:cs="Times New Roman"/>
                <w:b/>
                <w:bCs/>
                <w:color w:val="000000" w:themeColor="text1"/>
                <w:kern w:val="0"/>
                <w:sz w:val="24"/>
                <w:szCs w:val="21"/>
                <w:highlight w:val="none"/>
                <w:lang w:val="en-US" w:eastAsia="zh-CN"/>
                <w14:textFill>
                  <w14:solidFill>
                    <w14:schemeClr w14:val="tx1"/>
                  </w14:solidFill>
                </w14:textFill>
              </w:rPr>
              <w:t>3、</w:t>
            </w:r>
            <w:r>
              <w:rPr>
                <w:rFonts w:hint="default" w:ascii="Times New Roman" w:hAnsi="Times New Roman" w:cs="Times New Roman"/>
                <w:b/>
                <w:bCs/>
                <w:color w:val="000000" w:themeColor="text1"/>
                <w:kern w:val="0"/>
                <w:sz w:val="24"/>
                <w:szCs w:val="21"/>
                <w:highlight w:val="none"/>
                <w14:textFill>
                  <w14:solidFill>
                    <w14:schemeClr w14:val="tx1"/>
                  </w14:solidFill>
                </w14:textFill>
              </w:rPr>
              <w:t>与“三线一单”相符性分析</w:t>
            </w:r>
          </w:p>
          <w:p>
            <w:pPr>
              <w:pStyle w:val="52"/>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生态保护红线</w:t>
            </w:r>
          </w:p>
          <w:p>
            <w:pPr>
              <w:pStyle w:val="52"/>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项目位于</w:t>
            </w:r>
            <w:r>
              <w:rPr>
                <w:rFonts w:hint="default" w:ascii="Times New Roman" w:hAnsi="Times New Roman" w:cs="Times New Roman"/>
                <w:color w:val="000000" w:themeColor="text1"/>
                <w:lang w:eastAsia="zh-CN"/>
                <w14:textFill>
                  <w14:solidFill>
                    <w14:schemeClr w14:val="tx1"/>
                  </w14:solidFill>
                </w14:textFill>
              </w:rPr>
              <w:t>邵阳市邵阳县郦家坪镇</w:t>
            </w:r>
            <w:r>
              <w:rPr>
                <w:rFonts w:hint="default" w:ascii="Times New Roman" w:hAnsi="Times New Roman" w:cs="Times New Roman"/>
                <w:color w:val="000000" w:themeColor="text1"/>
                <w14:textFill>
                  <w14:solidFill>
                    <w14:schemeClr w14:val="tx1"/>
                  </w14:solidFill>
                </w14:textFill>
              </w:rPr>
              <w:t>，项目建设地不涉及自然保护区、饮用水源保护区等生态</w:t>
            </w:r>
            <w:r>
              <w:rPr>
                <w:rFonts w:hint="default" w:ascii="Times New Roman" w:hAnsi="Times New Roman" w:cs="Times New Roman"/>
                <w:color w:val="000000" w:themeColor="text1"/>
                <w:highlight w:val="none"/>
                <w14:textFill>
                  <w14:solidFill>
                    <w14:schemeClr w14:val="tx1"/>
                  </w14:solidFill>
                </w14:textFill>
              </w:rPr>
              <w:t>保护目标，</w:t>
            </w:r>
            <w:r>
              <w:rPr>
                <w:rFonts w:hint="default" w:ascii="Times New Roman" w:hAnsi="Times New Roman" w:cs="Times New Roman"/>
                <w:color w:val="000000" w:themeColor="text1"/>
                <w:sz w:val="24"/>
                <w:u w:val="single"/>
                <w14:textFill>
                  <w14:solidFill>
                    <w14:schemeClr w14:val="tx1"/>
                  </w14:solidFill>
                </w14:textFill>
              </w:rPr>
              <w:t>根据</w:t>
            </w:r>
            <w:r>
              <w:rPr>
                <w:rFonts w:hint="eastAsia" w:cs="Times New Roman"/>
                <w:color w:val="000000" w:themeColor="text1"/>
                <w:sz w:val="24"/>
                <w:u w:val="single"/>
                <w:lang w:eastAsia="zh-CN"/>
                <w14:textFill>
                  <w14:solidFill>
                    <w14:schemeClr w14:val="tx1"/>
                  </w14:solidFill>
                </w14:textFill>
              </w:rPr>
              <w:t>邵阳县自然资源局《关于国能邵阳县新能源有限公司邵阳县郦家坪光伏发电项目选址意见》</w:t>
            </w:r>
            <w:r>
              <w:rPr>
                <w:rFonts w:hint="default" w:ascii="Times New Roman" w:hAnsi="Times New Roman" w:cs="Times New Roman"/>
                <w:color w:val="000000" w:themeColor="text1"/>
                <w:sz w:val="24"/>
                <w:u w:val="single"/>
                <w14:textFill>
                  <w14:solidFill>
                    <w14:schemeClr w14:val="tx1"/>
                  </w14:solidFill>
                </w14:textFill>
              </w:rPr>
              <w:t>，项目</w:t>
            </w:r>
            <w:r>
              <w:rPr>
                <w:rFonts w:hint="eastAsia" w:cs="Times New Roman"/>
                <w:color w:val="000000" w:themeColor="text1"/>
                <w:sz w:val="24"/>
                <w:u w:val="single"/>
                <w:lang w:eastAsia="zh-CN"/>
                <w14:textFill>
                  <w14:solidFill>
                    <w14:schemeClr w14:val="tx1"/>
                  </w14:solidFill>
                </w14:textFill>
              </w:rPr>
              <w:t>拟选址区域不占用基本农田，不在</w:t>
            </w:r>
            <w:r>
              <w:rPr>
                <w:rFonts w:hint="default" w:ascii="Times New Roman" w:hAnsi="Times New Roman" w:cs="Times New Roman"/>
                <w:color w:val="000000" w:themeColor="text1"/>
                <w:sz w:val="24"/>
                <w:u w:val="single"/>
                <w14:textFill>
                  <w14:solidFill>
                    <w14:schemeClr w14:val="tx1"/>
                  </w14:solidFill>
                </w14:textFill>
              </w:rPr>
              <w:t>生态保护红线范围内</w:t>
            </w:r>
            <w:r>
              <w:rPr>
                <w:rFonts w:hint="eastAsia" w:cs="Times New Roman"/>
                <w:color w:val="000000" w:themeColor="text1"/>
                <w:sz w:val="24"/>
                <w:u w:val="single"/>
                <w:lang w:eastAsia="zh-CN"/>
                <w14:textFill>
                  <w14:solidFill>
                    <w14:schemeClr w14:val="tx1"/>
                  </w14:solidFill>
                </w14:textFill>
              </w:rPr>
              <w:t>，没有压覆矿产资源等自然资源部门禁止开发区域</w:t>
            </w:r>
            <w:r>
              <w:rPr>
                <w:rFonts w:hint="default" w:ascii="Times New Roman" w:hAnsi="Times New Roman" w:cs="Times New Roman"/>
                <w:color w:val="000000" w:themeColor="text1"/>
                <w:szCs w:val="21"/>
                <w:u w:val="single"/>
                <w14:textFill>
                  <w14:solidFill>
                    <w14:schemeClr w14:val="tx1"/>
                  </w14:solidFill>
                </w14:textFill>
              </w:rPr>
              <w:t>。</w:t>
            </w:r>
            <w:r>
              <w:rPr>
                <w:rFonts w:hint="default" w:ascii="Times New Roman" w:hAnsi="Times New Roman" w:cs="Times New Roman"/>
                <w:color w:val="000000" w:themeColor="text1"/>
                <w:u w:val="single"/>
                <w14:textFill>
                  <w14:solidFill>
                    <w14:schemeClr w14:val="tx1"/>
                  </w14:solidFill>
                </w14:textFill>
              </w:rPr>
              <w:t>故本项目符合生态保护红线要求。</w:t>
            </w:r>
          </w:p>
          <w:p>
            <w:pPr>
              <w:pStyle w:val="52"/>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环境质量底线</w:t>
            </w:r>
          </w:p>
          <w:p>
            <w:pPr>
              <w:pStyle w:val="52"/>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项目所在区域大气、声</w:t>
            </w:r>
            <w:r>
              <w:rPr>
                <w:rFonts w:hint="eastAsia" w:cs="Times New Roman"/>
                <w:color w:val="000000" w:themeColor="text1"/>
                <w:lang w:eastAsia="zh-CN"/>
                <w14:textFill>
                  <w14:solidFill>
                    <w14:schemeClr w14:val="tx1"/>
                  </w14:solidFill>
                </w14:textFill>
              </w:rPr>
              <w:t>、电磁</w:t>
            </w:r>
            <w:r>
              <w:rPr>
                <w:rFonts w:hint="default" w:ascii="Times New Roman" w:hAnsi="Times New Roman" w:cs="Times New Roman"/>
                <w:color w:val="000000" w:themeColor="text1"/>
                <w14:textFill>
                  <w14:solidFill>
                    <w14:schemeClr w14:val="tx1"/>
                  </w14:solidFill>
                </w14:textFill>
              </w:rPr>
              <w:t>等环境质量均能够满足相应功能区划要求。在严格落实各项污染防治措施的前提下，本项目外排的废气、噪声、固废、废水</w:t>
            </w:r>
            <w:r>
              <w:rPr>
                <w:rFonts w:hint="eastAsia" w:cs="Times New Roman"/>
                <w:color w:val="000000" w:themeColor="text1"/>
                <w:lang w:eastAsia="zh-CN"/>
                <w14:textFill>
                  <w14:solidFill>
                    <w14:schemeClr w14:val="tx1"/>
                  </w14:solidFill>
                </w14:textFill>
              </w:rPr>
              <w:t>、电磁辐射</w:t>
            </w:r>
            <w:r>
              <w:rPr>
                <w:rFonts w:hint="default" w:ascii="Times New Roman" w:hAnsi="Times New Roman" w:cs="Times New Roman"/>
                <w:color w:val="000000" w:themeColor="text1"/>
                <w14:textFill>
                  <w14:solidFill>
                    <w14:schemeClr w14:val="tx1"/>
                  </w14:solidFill>
                </w14:textFill>
              </w:rPr>
              <w:t>均能满足相应的标准要求，</w:t>
            </w:r>
            <w:r>
              <w:rPr>
                <w:rFonts w:hint="default" w:ascii="Times New Roman" w:hAnsi="Times New Roman" w:cs="Times New Roman"/>
                <w:color w:val="000000" w:themeColor="text1"/>
                <w:lang w:eastAsia="zh-CN"/>
                <w14:textFill>
                  <w14:solidFill>
                    <w14:schemeClr w14:val="tx1"/>
                  </w14:solidFill>
                </w14:textFill>
              </w:rPr>
              <w:t>项目</w:t>
            </w:r>
            <w:r>
              <w:rPr>
                <w:rFonts w:hint="default" w:ascii="Times New Roman" w:hAnsi="Times New Roman" w:cs="Times New Roman"/>
                <w:color w:val="000000" w:themeColor="text1"/>
                <w14:textFill>
                  <w14:solidFill>
                    <w14:schemeClr w14:val="tx1"/>
                  </w14:solidFill>
                </w14:textFill>
              </w:rPr>
              <w:t>建设对周边环境影响较小，建成后不会突破当地环境质量底线。</w:t>
            </w:r>
          </w:p>
          <w:p>
            <w:pPr>
              <w:pStyle w:val="52"/>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3</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资源利用上线</w:t>
            </w:r>
          </w:p>
          <w:p>
            <w:pPr>
              <w:pStyle w:val="52"/>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生产过程中所用的资源主要为水、电资源，不属于高水耗、高能耗的产业。项目建成后通过内部管理、设备选择、原辅材料的选用和管理、废物回收利用、污染治理等方面采取合理可行的防治措施，以“节能、降耗、减污”为目标，有效控制污染。项目的水、电资源利用不会突破区域资源利用上线。</w:t>
            </w:r>
          </w:p>
          <w:p>
            <w:pPr>
              <w:pStyle w:val="52"/>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4</w:t>
            </w:r>
            <w:r>
              <w:rPr>
                <w:rFonts w:hint="default" w:ascii="Times New Roman" w:hAnsi="Times New Roman" w:cs="Times New Roman"/>
                <w:b/>
                <w:bCs/>
                <w:color w:val="000000" w:themeColor="text1"/>
                <w:lang w:eastAsia="zh-CN"/>
                <w14:textFill>
                  <w14:solidFill>
                    <w14:schemeClr w14:val="tx1"/>
                  </w14:solidFill>
                </w14:textFill>
              </w:rPr>
              <w:t>）生态环境准入清单</w:t>
            </w:r>
          </w:p>
          <w:p>
            <w:pPr>
              <w:pStyle w:val="53"/>
              <w:keepNext w:val="0"/>
              <w:keepLines w:val="0"/>
              <w:pageBreakBefore w:val="0"/>
              <w:suppressLineNumbers w:val="0"/>
              <w:kinsoku/>
              <w:wordWrap/>
              <w:overflowPunct/>
              <w:topLinePunct w:val="0"/>
              <w:bidi w:val="0"/>
              <w:spacing w:before="0" w:beforeAutospacing="0" w:after="0" w:afterAutospacing="0" w:line="360" w:lineRule="auto"/>
              <w:ind w:left="0" w:right="0" w:firstLine="48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根据《邵阳市人民政府关于实施“三线一单”生态环境分区管控的意见》（邵市政发〔2020〕10号），</w:t>
            </w:r>
            <w:r>
              <w:rPr>
                <w:rFonts w:hint="default" w:ascii="Times New Roman" w:hAnsi="Times New Roman" w:eastAsia="宋体" w:cs="Times New Roman"/>
                <w:color w:val="000000" w:themeColor="text1"/>
                <w:sz w:val="24"/>
                <w:szCs w:val="24"/>
                <w:lang w:eastAsia="zh-CN"/>
                <w14:textFill>
                  <w14:solidFill>
                    <w14:schemeClr w14:val="tx1"/>
                  </w14:solidFill>
                </w14:textFill>
              </w:rPr>
              <w:t>本项目位于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邵阳市邵阳县郦家坪镇</w:t>
            </w:r>
            <w:r>
              <w:rPr>
                <w:rFonts w:hint="default" w:ascii="Times New Roman" w:hAnsi="Times New Roman" w:eastAsia="宋体" w:cs="Times New Roman"/>
                <w:color w:val="000000" w:themeColor="text1"/>
                <w:sz w:val="24"/>
                <w:szCs w:val="24"/>
                <w:lang w:eastAsia="zh-CN"/>
                <w14:textFill>
                  <w14:solidFill>
                    <w14:schemeClr w14:val="tx1"/>
                  </w14:solidFill>
                </w14:textFill>
              </w:rPr>
              <w:t>，属于一般管控单元，环境管控单元编码为ZH43052330002。</w:t>
            </w:r>
            <w:r>
              <w:rPr>
                <w:rFonts w:hint="default" w:ascii="Times New Roman" w:hAnsi="Times New Roman" w:cs="Times New Roman"/>
                <w:color w:val="000000" w:themeColor="text1"/>
                <w:spacing w:val="-5"/>
                <w:sz w:val="24"/>
                <w14:textFill>
                  <w14:solidFill>
                    <w14:schemeClr w14:val="tx1"/>
                  </w14:solidFill>
                </w14:textFill>
              </w:rPr>
              <w:t>根据</w:t>
            </w:r>
            <w:r>
              <w:rPr>
                <w:rFonts w:hint="default" w:ascii="Times New Roman" w:hAnsi="Times New Roman" w:cs="Times New Roman"/>
                <w:color w:val="000000" w:themeColor="text1"/>
                <w:sz w:val="24"/>
                <w14:textFill>
                  <w14:solidFill>
                    <w14:schemeClr w14:val="tx1"/>
                  </w14:solidFill>
                </w14:textFill>
              </w:rPr>
              <w:t>其管控要求对比</w:t>
            </w:r>
            <w:r>
              <w:rPr>
                <w:rFonts w:hint="default" w:ascii="Times New Roman" w:hAnsi="Times New Roman" w:cs="Times New Roman"/>
                <w:color w:val="000000" w:themeColor="text1"/>
                <w:sz w:val="24"/>
                <w:lang w:eastAsia="zh-CN"/>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所在区域现状如下表所示。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w:t>
            </w:r>
            <w:r>
              <w:rPr>
                <w:rFonts w:hint="default" w:ascii="Times New Roman" w:hAnsi="Times New Roman" w:cs="Times New Roman"/>
                <w:b/>
                <w:color w:val="000000" w:themeColor="text1"/>
                <w14:textFill>
                  <w14:solidFill>
                    <w14:schemeClr w14:val="tx1"/>
                  </w14:solidFill>
                </w14:textFill>
              </w:rPr>
              <w:t>1-</w:t>
            </w:r>
            <w:r>
              <w:rPr>
                <w:rFonts w:hint="default" w:ascii="Times New Roman" w:hAnsi="Times New Roman" w:cs="Times New Roman"/>
                <w:b/>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14:textFill>
                  <w14:solidFill>
                    <w14:schemeClr w14:val="tx1"/>
                  </w14:solidFill>
                </w14:textFill>
              </w:rPr>
              <w:t xml:space="preserve"> 与</w:t>
            </w:r>
            <w:r>
              <w:rPr>
                <w:rFonts w:hint="default" w:ascii="Times New Roman" w:hAnsi="Times New Roman" w:cs="Times New Roman"/>
                <w:b/>
                <w:bCs/>
                <w:color w:val="000000" w:themeColor="text1"/>
                <w:lang w:eastAsia="zh-CN"/>
                <w14:textFill>
                  <w14:solidFill>
                    <w14:schemeClr w14:val="tx1"/>
                  </w14:solidFill>
                </w14:textFill>
              </w:rPr>
              <w:t>邵阳市</w:t>
            </w:r>
            <w:r>
              <w:rPr>
                <w:rFonts w:hint="default" w:ascii="Times New Roman" w:hAnsi="Times New Roman" w:cs="Times New Roman"/>
                <w:b/>
                <w:bCs/>
                <w:color w:val="000000" w:themeColor="text1"/>
                <w14:textFill>
                  <w14:solidFill>
                    <w14:schemeClr w14:val="tx1"/>
                  </w14:solidFill>
                </w14:textFill>
              </w:rPr>
              <w:t>“三线一单”生态环境分区管控方案相符性分析一览表</w:t>
            </w:r>
          </w:p>
          <w:tbl>
            <w:tblPr>
              <w:tblStyle w:val="23"/>
              <w:tblW w:w="494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518"/>
              <w:gridCol w:w="1682"/>
              <w:gridCol w:w="4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01" w:type="pc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t>管控类别</w:t>
                  </w:r>
                </w:p>
              </w:tc>
              <w:tc>
                <w:tcPr>
                  <w:tcW w:w="3201" w:type="pc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t>管控要求</w:t>
                  </w:r>
                </w:p>
              </w:tc>
              <w:tc>
                <w:tcPr>
                  <w:tcW w:w="1192" w:type="pc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t>项目实际情况</w:t>
                  </w:r>
                </w:p>
              </w:tc>
              <w:tc>
                <w:tcPr>
                  <w:tcW w:w="303" w:type="pc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空间布局约束</w:t>
                  </w:r>
                </w:p>
              </w:tc>
              <w:tc>
                <w:tcPr>
                  <w:tcW w:w="3201" w:type="pc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（1.1）推进农业农村污染防治。防治畜禽养殖污染。严格禁养区管理，禁养区内禁止新建畜禽规模养殖场（小区）和养殖专业户入驻。</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（1.2）城镇规划区内禁止新建砖瓦炉窑。建制镇区域内10蒸吨/小时以下的工业锅炉必须要求使用清洁能源。当城市燃气供应不能满足需求时，可以过渡使用生物质成型燃料、柴油等非高污染燃料；</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（1.3）经风险评估对人体健康有严重影响的被污染场地，未经治理修复或者治理修复不符合相关标准的，不得用于居民住宅、学校、幼儿园、医院、养老场所等项目开发；</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（1.4）执行市级空间布局约束相关要求，重点关注红线/农用地优先保护区/饮用水水源保护区。</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（1.5）坚持改造提升和退出搬迁并重，有序推进城市建成区内重污染企业退出。</w:t>
                  </w:r>
                </w:p>
              </w:tc>
              <w:tc>
                <w:tcPr>
                  <w:tcW w:w="1192" w:type="pc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本项目</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位于邵阳市邵阳县郦家坪镇，</w:t>
                  </w:r>
                  <w:r>
                    <w:rPr>
                      <w:rFonts w:hint="default" w:ascii="Times New Roman" w:hAnsi="Times New Roman" w:cs="Times New Roman"/>
                      <w:color w:val="000000" w:themeColor="text1"/>
                      <w:kern w:val="0"/>
                      <w:sz w:val="21"/>
                      <w:szCs w:val="21"/>
                      <w:vertAlign w:val="baseline"/>
                      <w:lang w:val="en-US" w:eastAsia="zh-CN"/>
                      <w14:textFill>
                        <w14:solidFill>
                          <w14:schemeClr w14:val="tx1"/>
                        </w14:solidFill>
                      </w14:textFill>
                    </w:rPr>
                    <w:t>为</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光伏发电项目配套的电力设施（升压站）建设，项目占地不涉及生态红线、</w:t>
                  </w:r>
                  <w:r>
                    <w:rPr>
                      <w:rFonts w:hint="default" w:ascii="Times New Roman" w:hAnsi="Times New Roman" w:eastAsia="宋体" w:cs="Times New Roman"/>
                      <w:color w:val="000000" w:themeColor="text1"/>
                      <w:sz w:val="21"/>
                      <w:szCs w:val="21"/>
                      <w14:textFill>
                        <w14:solidFill>
                          <w14:schemeClr w14:val="tx1"/>
                        </w14:solidFill>
                      </w14:textFill>
                    </w:rPr>
                    <w:t>饮用水保护区、</w:t>
                  </w: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农用地优先保护区、</w:t>
                  </w:r>
                  <w:r>
                    <w:rPr>
                      <w:rFonts w:hint="default" w:ascii="Times New Roman" w:hAnsi="Times New Roman" w:eastAsia="宋体" w:cs="Times New Roman"/>
                      <w:color w:val="000000" w:themeColor="text1"/>
                      <w:sz w:val="21"/>
                      <w:szCs w:val="21"/>
                      <w14:textFill>
                        <w14:solidFill>
                          <w14:schemeClr w14:val="tx1"/>
                        </w14:solidFill>
                      </w14:textFill>
                    </w:rPr>
                    <w:t>自然保护区</w:t>
                  </w:r>
                  <w:r>
                    <w:rPr>
                      <w:rFonts w:hint="default" w:ascii="Times New Roman" w:hAnsi="Times New Roman" w:eastAsia="宋体" w:cs="Times New Roman"/>
                      <w:color w:val="000000" w:themeColor="text1"/>
                      <w:sz w:val="21"/>
                      <w:szCs w:val="21"/>
                      <w:lang w:eastAsia="zh-CN"/>
                      <w14:textFill>
                        <w14:solidFill>
                          <w14:schemeClr w14:val="tx1"/>
                        </w14:solidFill>
                      </w14:textFill>
                    </w:rPr>
                    <w:t>和基本农田</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，不属于空间布局约束中的项目。</w:t>
                  </w:r>
                </w:p>
              </w:tc>
              <w:tc>
                <w:tcPr>
                  <w:tcW w:w="303" w:type="pc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污染物排放管控</w:t>
                  </w:r>
                </w:p>
              </w:tc>
              <w:tc>
                <w:tcPr>
                  <w:tcW w:w="3201" w:type="pc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（2.1）禁止新建不符合国家产业政策的小型造纸、制革、印染、染料、炼焦、炼硫、炼砷、炼汞、炼油、电镀、农药、石棉、水泥、玻璃、钢铁、火电以及其他严重污染水环境的生产项目；</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（2.2）禁止新建、扩建炼油石化、炼钢炼铁、平板玻璃（特殊品种的优质浮法玻璃项目除外）、焦炭、有色冶炼、化学制浆、鞣革等项目，改建项目必须实施污染物总量削减。</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（2.3）加强各类工业企业和建筑工地环境监管，确保各项污染物稳定达标排放。</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（2.4）加快推进重点建制镇污水处理厂以及配套管网建设，确保城镇生活污水有效收集处理达标排放。提高城乡生活垃圾收集和处置效率。</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（2.5）推进农村综合环境整治，改善人居环境。</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（2.6）加快推进养殖业粪污资源化利用。</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（2.7）执行市级污染物排放管控相关要求。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（2.8）加快推进有机化工、工业涂装、包装印刷、沥青搅拌等行业企业VOCs治理，确保达标排放。</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（2.9）强化建筑扬尘治理管控，全县各类工地达到“六个100%”（工地周边围挡、裸露土地和物料堆放覆盖、土方开挖湿法作业、路面硬化、出入车辆清洗、渣土车辆密闭运输达到100%）。加强道路扬尘控制。</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（2.10）落实《湖南省城市双修三年行动计划（2018—2020年）》。加快推进重点镇污水处理设施建设“三年行动计划”。推进污泥处理处置。强化城中村、老旧城区和城乡结合部污水截流、收集。</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2.11）以生活垃圾治理、厕所粪污治理、生活污水治理、饮用水水源地保护、养殖行业环境整治为重点，推进农村环境综合整治全县域覆盖，以县级行政区为单元，推进基础设施建设并建立运行维护长效机制。加快农村环境综合整治整县（区）推进。</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2.12）严格畜禽禁养区管理，加强规模化畜禽养殖场（小区）废弃物处理和资源化综合利用。合理规划水产养殖布局和规模，严格规范河流、水库等天然水域的水产养殖行为。大力发展绿色水产养殖，依法规范、限制使用抗生素等化学药品。推进精养鱼塘生态化改造。</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2.13）推进农药化肥使用减量化，大力推进统防统治和绿色防控。测土配方施肥覆盖率达到90%以上，主要农作物肥料利用率提高到40%以上。严格禁止秸秆露天焚烧，鼓励秸秆肥料化、资源化、能源化利用。加强废弃农膜和农药包装物回收利用。</w:t>
                  </w:r>
                </w:p>
              </w:tc>
              <w:tc>
                <w:tcPr>
                  <w:tcW w:w="1192" w:type="pc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本项目</w:t>
                  </w:r>
                  <w:r>
                    <w:rPr>
                      <w:rFonts w:hint="default" w:ascii="Times New Roman" w:hAnsi="Times New Roman" w:cs="Times New Roman"/>
                      <w:color w:val="000000" w:themeColor="text1"/>
                      <w:kern w:val="0"/>
                      <w:sz w:val="21"/>
                      <w:szCs w:val="21"/>
                      <w:vertAlign w:val="baseline"/>
                      <w:lang w:val="en-US" w:eastAsia="zh-CN"/>
                      <w14:textFill>
                        <w14:solidFill>
                          <w14:schemeClr w14:val="tx1"/>
                        </w14:solidFill>
                      </w14:textFill>
                    </w:rPr>
                    <w:t>产生的</w:t>
                  </w: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主要污染物按报告要求采取各项生态防护措施及污染防治措施后污染物能达标排放</w:t>
                  </w:r>
                  <w:r>
                    <w:rPr>
                      <w:rFonts w:hint="default" w:ascii="Times New Roman" w:hAnsi="Times New Roman" w:cs="Times New Roman"/>
                      <w:color w:val="000000" w:themeColor="text1"/>
                      <w:kern w:val="0"/>
                      <w:sz w:val="21"/>
                      <w:szCs w:val="21"/>
                      <w:vertAlign w:val="baseline"/>
                      <w:lang w:eastAsia="zh-CN"/>
                      <w14:textFill>
                        <w14:solidFill>
                          <w14:schemeClr w14:val="tx1"/>
                        </w14:solidFill>
                      </w14:textFill>
                    </w:rPr>
                    <w:t>。</w:t>
                  </w:r>
                </w:p>
              </w:tc>
              <w:tc>
                <w:tcPr>
                  <w:tcW w:w="303" w:type="pc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01" w:type="pc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环境风险防控</w:t>
                  </w:r>
                </w:p>
              </w:tc>
              <w:tc>
                <w:tcPr>
                  <w:tcW w:w="3201" w:type="pc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（3.1）在依法设立、环保基础设施齐全并经规划环评的产业园区外，禁止新建、改建、扩建危险化学品生产、储存等可能引发环境风险的项目。</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（3.2）加强企业危险废物监管。</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（3.3）加快推进工业污染地块整治。</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（3.4）全面启动历史遗留污染问题治理。实施综合性治理措施，分阶段、分区域、按类别解决历史遗留污染问题。</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（3.5）执行市级环境风险防控相关要求。</w:t>
                  </w:r>
                </w:p>
              </w:tc>
              <w:tc>
                <w:tcPr>
                  <w:tcW w:w="1192" w:type="pc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本项目</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产生的废铅酸蓄电池和废变压油属于危险废物，项目在升压站内建设危险废物暂存间</w:t>
                  </w:r>
                  <w:r>
                    <w:rPr>
                      <w:rFonts w:hint="default" w:ascii="Times New Roman" w:hAnsi="Times New Roman" w:cs="Times New Roman"/>
                      <w:color w:val="000000" w:themeColor="text1"/>
                      <w:kern w:val="0"/>
                      <w:sz w:val="21"/>
                      <w:szCs w:val="21"/>
                      <w:vertAlign w:val="baseline"/>
                      <w:lang w:val="en-US" w:eastAsia="zh-CN"/>
                      <w14:textFill>
                        <w14:solidFill>
                          <w14:schemeClr w14:val="tx1"/>
                        </w14:solidFill>
                      </w14:textFill>
                    </w:rPr>
                    <w:t>及事故油池</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，废铅酸蓄电池和废变压油集中收集暂存后定期委托有资质单位进行处置</w:t>
                  </w:r>
                </w:p>
              </w:tc>
              <w:tc>
                <w:tcPr>
                  <w:tcW w:w="303" w:type="pc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01" w:type="pc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资源开发效率要求</w:t>
                  </w:r>
                </w:p>
              </w:tc>
              <w:tc>
                <w:tcPr>
                  <w:tcW w:w="3201" w:type="pc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（4.1）鼓励企业提高废水、余热利用效率。</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（4.2）合理开发利用土地资源、水资源、矿产资源和林业资源。</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（4.3）降低煤炭低效消耗量。</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（4.4）执行市级资源开发效率相关要求。</w:t>
                  </w:r>
                </w:p>
              </w:tc>
              <w:tc>
                <w:tcPr>
                  <w:tcW w:w="1192" w:type="pc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项目</w:t>
                  </w:r>
                  <w:r>
                    <w:rPr>
                      <w:rFonts w:hint="default" w:ascii="Times New Roman" w:hAnsi="Times New Roman" w:cs="Times New Roman"/>
                      <w:color w:val="000000" w:themeColor="text1"/>
                      <w:kern w:val="0"/>
                      <w:sz w:val="21"/>
                      <w:szCs w:val="21"/>
                      <w:vertAlign w:val="baseline"/>
                      <w:lang w:val="en-US" w:eastAsia="zh-CN"/>
                      <w14:textFill>
                        <w14:solidFill>
                          <w14:schemeClr w14:val="tx1"/>
                        </w14:solidFill>
                      </w14:textFill>
                    </w:rPr>
                    <w:t>为</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光伏发电项目配套的电力设施（升压站）建设</w:t>
                  </w:r>
                  <w:r>
                    <w:rPr>
                      <w:rFonts w:hint="default" w:ascii="Times New Roman" w:hAnsi="Times New Roman" w:cs="Times New Roman"/>
                      <w:color w:val="000000" w:themeColor="text1"/>
                      <w:kern w:val="0"/>
                      <w:sz w:val="21"/>
                      <w:szCs w:val="21"/>
                      <w:vertAlign w:val="baseline"/>
                      <w:lang w:val="en-US" w:eastAsia="zh-CN"/>
                      <w14:textFill>
                        <w14:solidFill>
                          <w14:schemeClr w14:val="tx1"/>
                        </w14:solidFill>
                      </w14:textFill>
                    </w:rPr>
                    <w:t>，项目建成后可产生电能，项目</w:t>
                  </w:r>
                  <w:r>
                    <w:rPr>
                      <w:rFonts w:hint="default" w:ascii="Times New Roman" w:hAnsi="Times New Roman" w:eastAsia="宋体" w:cs="Times New Roman"/>
                      <w:color w:val="000000" w:themeColor="text1"/>
                      <w:sz w:val="21"/>
                      <w:szCs w:val="24"/>
                      <w14:textFill>
                        <w14:solidFill>
                          <w14:schemeClr w14:val="tx1"/>
                        </w14:solidFill>
                      </w14:textFill>
                    </w:rPr>
                    <w:t>能耗</w:t>
                  </w:r>
                  <w:r>
                    <w:rPr>
                      <w:rFonts w:hint="default" w:ascii="Times New Roman" w:hAnsi="Times New Roman" w:eastAsia="宋体" w:cs="Times New Roman"/>
                      <w:color w:val="000000" w:themeColor="text1"/>
                      <w:sz w:val="21"/>
                      <w:szCs w:val="24"/>
                      <w:lang w:eastAsia="zh-CN"/>
                      <w14:textFill>
                        <w14:solidFill>
                          <w14:schemeClr w14:val="tx1"/>
                        </w14:solidFill>
                      </w14:textFill>
                    </w:rPr>
                    <w:t>主要</w:t>
                  </w:r>
                  <w:r>
                    <w:rPr>
                      <w:rFonts w:hint="default" w:ascii="Times New Roman" w:hAnsi="Times New Roman" w:eastAsia="宋体" w:cs="Times New Roman"/>
                      <w:color w:val="000000" w:themeColor="text1"/>
                      <w:sz w:val="21"/>
                      <w:szCs w:val="24"/>
                      <w14:textFill>
                        <w14:solidFill>
                          <w14:schemeClr w14:val="tx1"/>
                        </w14:solidFill>
                      </w14:textFill>
                    </w:rPr>
                    <w:t>为</w:t>
                  </w:r>
                  <w:r>
                    <w:rPr>
                      <w:rFonts w:hint="default" w:ascii="Times New Roman" w:hAnsi="Times New Roman" w:eastAsia="宋体" w:cs="Times New Roman"/>
                      <w:color w:val="000000" w:themeColor="text1"/>
                      <w:sz w:val="21"/>
                      <w:szCs w:val="24"/>
                      <w:lang w:eastAsia="zh-CN"/>
                      <w14:textFill>
                        <w14:solidFill>
                          <w14:schemeClr w14:val="tx1"/>
                        </w14:solidFill>
                      </w14:textFill>
                    </w:rPr>
                    <w:t>水</w:t>
                  </w:r>
                  <w:r>
                    <w:rPr>
                      <w:rFonts w:hint="default" w:ascii="Times New Roman" w:hAnsi="Times New Roman" w:eastAsia="宋体" w:cs="Times New Roman"/>
                      <w:color w:val="000000" w:themeColor="text1"/>
                      <w:sz w:val="21"/>
                      <w:szCs w:val="24"/>
                      <w14:textFill>
                        <w14:solidFill>
                          <w14:schemeClr w14:val="tx1"/>
                        </w14:solidFill>
                      </w14:textFill>
                    </w:rPr>
                    <w:t>，</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用水量不大</w:t>
                  </w:r>
                  <w:r>
                    <w:rPr>
                      <w:rFonts w:hint="default" w:ascii="Times New Roman" w:hAnsi="Times New Roman" w:eastAsia="宋体" w:cs="Times New Roman"/>
                      <w:color w:val="000000" w:themeColor="text1"/>
                      <w:sz w:val="21"/>
                      <w:szCs w:val="24"/>
                      <w:lang w:eastAsia="zh-CN"/>
                      <w14:textFill>
                        <w14:solidFill>
                          <w14:schemeClr w14:val="tx1"/>
                        </w14:solidFill>
                      </w14:textFill>
                    </w:rPr>
                    <w:t>；</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且</w:t>
                  </w:r>
                  <w:r>
                    <w:rPr>
                      <w:rFonts w:hint="default" w:ascii="Times New Roman" w:hAnsi="Times New Roman" w:eastAsia="宋体" w:cs="Times New Roman"/>
                      <w:color w:val="000000" w:themeColor="text1"/>
                      <w:sz w:val="21"/>
                      <w:szCs w:val="24"/>
                      <w14:textFill>
                        <w14:solidFill>
                          <w14:schemeClr w14:val="tx1"/>
                        </w14:solidFill>
                      </w14:textFill>
                    </w:rPr>
                    <w:t>项目</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占地面积较小</w:t>
                  </w:r>
                  <w:r>
                    <w:rPr>
                      <w:rFonts w:hint="default" w:ascii="Times New Roman" w:hAnsi="Times New Roman" w:eastAsia="宋体" w:cs="Times New Roman"/>
                      <w:color w:val="000000" w:themeColor="text1"/>
                      <w:sz w:val="21"/>
                      <w:szCs w:val="24"/>
                      <w:lang w:eastAsia="zh-CN"/>
                      <w14:textFill>
                        <w14:solidFill>
                          <w14:schemeClr w14:val="tx1"/>
                        </w14:solidFill>
                      </w14:textFill>
                    </w:rPr>
                    <w:t>，</w:t>
                  </w:r>
                  <w:r>
                    <w:rPr>
                      <w:rFonts w:hint="default" w:ascii="Times New Roman" w:hAnsi="Times New Roman" w:eastAsia="宋体" w:cs="Times New Roman"/>
                      <w:color w:val="000000" w:themeColor="text1"/>
                      <w:sz w:val="21"/>
                      <w:szCs w:val="24"/>
                      <w14:textFill>
                        <w14:solidFill>
                          <w14:schemeClr w14:val="tx1"/>
                        </w14:solidFill>
                      </w14:textFill>
                    </w:rPr>
                    <w:t>因此不会对区域资源消耗管控要求造成负面影响</w:t>
                  </w:r>
                  <w:r>
                    <w:rPr>
                      <w:rFonts w:hint="default" w:ascii="Times New Roman" w:hAnsi="Times New Roman" w:eastAsia="宋体" w:cs="Times New Roman"/>
                      <w:color w:val="000000" w:themeColor="text1"/>
                      <w:sz w:val="21"/>
                      <w:szCs w:val="24"/>
                      <w:lang w:eastAsia="zh-CN"/>
                      <w14:textFill>
                        <w14:solidFill>
                          <w14:schemeClr w14:val="tx1"/>
                        </w14:solidFill>
                      </w14:textFill>
                    </w:rPr>
                    <w:t>。</w:t>
                  </w:r>
                </w:p>
              </w:tc>
              <w:tc>
                <w:tcPr>
                  <w:tcW w:w="303" w:type="pc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符合</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bCs/>
                <w:iCs/>
                <w:color w:val="000000" w:themeColor="text1"/>
                <w:sz w:val="24"/>
                <w:szCs w:val="24"/>
                <w14:textFill>
                  <w14:solidFill>
                    <w14:schemeClr w14:val="tx1"/>
                  </w14:solidFill>
                </w14:textFill>
              </w:rPr>
            </w:pPr>
            <w:r>
              <w:rPr>
                <w:rFonts w:hint="default" w:ascii="Times New Roman" w:hAnsi="Times New Roman" w:cs="Times New Roman"/>
                <w:bCs/>
                <w:iCs/>
                <w:color w:val="000000" w:themeColor="text1"/>
                <w:sz w:val="24"/>
                <w:szCs w:val="24"/>
                <w14:textFill>
                  <w14:solidFill>
                    <w14:schemeClr w14:val="tx1"/>
                  </w14:solidFill>
                </w14:textFill>
              </w:rPr>
              <w:t>因此，本项目建设与</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邵阳市人民政府关于实施“三线一单”生态环境分区管控的意见</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邵市政发〔2020〕10号</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bCs/>
                <w:iCs/>
                <w:color w:val="000000" w:themeColor="text1"/>
                <w:sz w:val="24"/>
                <w:szCs w:val="24"/>
                <w14:textFill>
                  <w14:solidFill>
                    <w14:schemeClr w14:val="tx1"/>
                  </w14:solidFill>
                </w14:textFill>
              </w:rPr>
              <w:t>相符。</w:t>
            </w:r>
          </w:p>
          <w:p>
            <w:pPr>
              <w:keepNext w:val="0"/>
              <w:keepLines w:val="0"/>
              <w:widowControl/>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000000" w:themeColor="text1"/>
                <w:sz w:val="24"/>
                <w:u w:val="single"/>
                <w:lang w:val="en-US" w:eastAsia="zh-CN"/>
                <w14:textFill>
                  <w14:solidFill>
                    <w14:schemeClr w14:val="tx1"/>
                  </w14:solidFill>
                </w14:textFill>
              </w:rPr>
            </w:pPr>
            <w:r>
              <w:rPr>
                <w:rFonts w:hint="default" w:ascii="Times New Roman" w:hAnsi="Times New Roman" w:cs="Times New Roman"/>
                <w:b/>
                <w:bCs/>
                <w:color w:val="000000" w:themeColor="text1"/>
                <w:sz w:val="24"/>
                <w:u w:val="single"/>
                <w:lang w:val="en-US" w:eastAsia="zh-CN"/>
                <w14:textFill>
                  <w14:solidFill>
                    <w14:schemeClr w14:val="tx1"/>
                  </w14:solidFill>
                </w14:textFill>
              </w:rPr>
              <w:t>4、与涉及地区相关规划的相符性分析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bCs/>
                <w:iCs/>
                <w:color w:val="000000" w:themeColor="text1"/>
                <w:sz w:val="24"/>
                <w:szCs w:val="24"/>
                <w:u w:val="single"/>
                <w14:textFill>
                  <w14:solidFill>
                    <w14:schemeClr w14:val="tx1"/>
                  </w14:solidFill>
                </w14:textFill>
              </w:rPr>
            </w:pPr>
            <w:r>
              <w:rPr>
                <w:rFonts w:hint="default" w:ascii="Times New Roman" w:hAnsi="Times New Roman" w:cs="Times New Roman"/>
                <w:bCs/>
                <w:iCs/>
                <w:color w:val="000000" w:themeColor="text1"/>
                <w:sz w:val="24"/>
                <w:szCs w:val="24"/>
                <w:u w:val="single"/>
                <w14:textFill>
                  <w14:solidFill>
                    <w14:schemeClr w14:val="tx1"/>
                  </w14:solidFill>
                </w14:textFill>
              </w:rPr>
              <w:t>本项目在选址选线阶段，已充分征求所涉地区自然资源、</w:t>
            </w:r>
            <w:r>
              <w:rPr>
                <w:rFonts w:hint="default" w:ascii="Times New Roman" w:hAnsi="Times New Roman" w:cs="Times New Roman"/>
                <w:bCs/>
                <w:iCs/>
                <w:color w:val="000000" w:themeColor="text1"/>
                <w:sz w:val="24"/>
                <w:szCs w:val="24"/>
                <w:u w:val="single"/>
                <w:lang w:eastAsia="zh-CN"/>
                <w14:textFill>
                  <w14:solidFill>
                    <w14:schemeClr w14:val="tx1"/>
                  </w14:solidFill>
                </w14:textFill>
              </w:rPr>
              <w:t>林业、</w:t>
            </w:r>
            <w:r>
              <w:rPr>
                <w:rFonts w:hint="default" w:ascii="Times New Roman" w:hAnsi="Times New Roman" w:cs="Times New Roman"/>
                <w:bCs/>
                <w:iCs/>
                <w:color w:val="000000" w:themeColor="text1"/>
                <w:sz w:val="24"/>
                <w:szCs w:val="24"/>
                <w:u w:val="single"/>
                <w14:textFill>
                  <w14:solidFill>
                    <w14:schemeClr w14:val="tx1"/>
                  </w14:solidFill>
                </w14:textFill>
              </w:rPr>
              <w:t>生态环境等部门的意见，对站址和线路路径进行了优化，不影响当地土地利用规划和城镇发展规划。相关协议文件内容详见表1-3。</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u w:val="single"/>
                <w14:textFill>
                  <w14:solidFill>
                    <w14:schemeClr w14:val="tx1"/>
                  </w14:solidFill>
                </w14:textFill>
              </w:rPr>
            </w:pPr>
            <w:r>
              <w:rPr>
                <w:rFonts w:hint="default" w:ascii="Times New Roman" w:hAnsi="Times New Roman" w:eastAsia="宋体" w:cs="Times New Roman"/>
                <w:b/>
                <w:bCs/>
                <w:color w:val="000000" w:themeColor="text1"/>
                <w:u w:val="single"/>
                <w14:textFill>
                  <w14:solidFill>
                    <w14:schemeClr w14:val="tx1"/>
                  </w14:solidFill>
                </w14:textFill>
              </w:rPr>
              <w:t>表1-</w:t>
            </w:r>
            <w:r>
              <w:rPr>
                <w:rFonts w:hint="eastAsia" w:cs="Times New Roman"/>
                <w:b/>
                <w:bCs/>
                <w:color w:val="000000" w:themeColor="text1"/>
                <w:u w:val="single"/>
                <w:lang w:val="en-US" w:eastAsia="zh-CN"/>
                <w14:textFill>
                  <w14:solidFill>
                    <w14:schemeClr w14:val="tx1"/>
                  </w14:solidFill>
                </w14:textFill>
              </w:rPr>
              <w:t>3</w:t>
            </w:r>
            <w:r>
              <w:rPr>
                <w:rFonts w:hint="default" w:ascii="Times New Roman" w:hAnsi="Times New Roman" w:eastAsia="宋体" w:cs="Times New Roman"/>
                <w:b/>
                <w:bCs/>
                <w:color w:val="000000" w:themeColor="text1"/>
                <w:u w:val="single"/>
                <w14:textFill>
                  <w14:solidFill>
                    <w14:schemeClr w14:val="tx1"/>
                  </w14:solidFill>
                </w14:textFill>
              </w:rPr>
              <w:t xml:space="preserve"> 本工程协议情况一览表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91"/>
              <w:gridCol w:w="2276"/>
              <w:gridCol w:w="222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05"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u w:val="single"/>
                      <w:vertAlign w:val="baseline"/>
                      <w:lang w:val="en-US" w:eastAsia="zh-CN"/>
                      <w14:textFill>
                        <w14:solidFill>
                          <w14:schemeClr w14:val="tx1"/>
                        </w14:solidFill>
                      </w14:textFill>
                    </w:rPr>
                    <w:t>单位名称</w:t>
                  </w:r>
                </w:p>
              </w:tc>
              <w:tc>
                <w:tcPr>
                  <w:tcW w:w="1594"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u w:val="single"/>
                      <w:vertAlign w:val="baseline"/>
                      <w:lang w:val="en-US" w:eastAsia="zh-CN"/>
                      <w14:textFill>
                        <w14:solidFill>
                          <w14:schemeClr w14:val="tx1"/>
                        </w14:solidFill>
                      </w14:textFill>
                    </w:rPr>
                    <w:t>意见</w:t>
                  </w:r>
                </w:p>
              </w:tc>
              <w:tc>
                <w:tcPr>
                  <w:tcW w:w="1559"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u w:val="single"/>
                      <w:vertAlign w:val="baseline"/>
                      <w:lang w:val="en-US" w:eastAsia="zh-CN"/>
                      <w14:textFill>
                        <w14:solidFill>
                          <w14:schemeClr w14:val="tx1"/>
                        </w14:solidFill>
                      </w14:textFill>
                    </w:rPr>
                    <w:t>附加条件</w:t>
                  </w:r>
                </w:p>
              </w:tc>
              <w:tc>
                <w:tcPr>
                  <w:tcW w:w="940"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u w:val="single"/>
                      <w:vertAlign w:val="baseline"/>
                      <w:lang w:val="en-US" w:eastAsia="zh-CN"/>
                      <w14:textFill>
                        <w14:solidFill>
                          <w14:schemeClr w14:val="tx1"/>
                        </w14:solidFill>
                      </w14:textFill>
                    </w:rPr>
                    <w:t>落实情况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05"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邵阳县自然资源局</w:t>
                  </w:r>
                </w:p>
              </w:tc>
              <w:tc>
                <w:tcPr>
                  <w:tcW w:w="1594"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原则同意</w:t>
                  </w:r>
                  <w:r>
                    <w:rPr>
                      <w:rFonts w:hint="eastAsia" w:cs="Times New Roman"/>
                      <w:color w:val="000000" w:themeColor="text1"/>
                      <w:kern w:val="0"/>
                      <w:sz w:val="21"/>
                      <w:szCs w:val="21"/>
                      <w:u w:val="single"/>
                      <w:vertAlign w:val="baseline"/>
                      <w:lang w:val="en-US" w:eastAsia="zh-CN"/>
                      <w14:textFill>
                        <w14:solidFill>
                          <w14:schemeClr w14:val="tx1"/>
                        </w14:solidFill>
                      </w14:textFill>
                    </w:rPr>
                    <w:t>，项目拟选址区域不占用基本农田，不在生态保护红线范围内，没有压覆矿产资源等自然资源部门禁止开发区域</w:t>
                  </w:r>
                </w:p>
              </w:tc>
              <w:tc>
                <w:tcPr>
                  <w:tcW w:w="1559"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u w:val="single"/>
                      <w:vertAlign w:val="baseline"/>
                      <w:lang w:val="en-US" w:eastAsia="zh-CN"/>
                      <w14:textFill>
                        <w14:solidFill>
                          <w14:schemeClr w14:val="tx1"/>
                        </w14:solidFill>
                      </w14:textFill>
                    </w:rPr>
                  </w:pPr>
                  <w:r>
                    <w:rPr>
                      <w:rFonts w:hint="eastAsia" w:cs="Times New Roman"/>
                      <w:color w:val="000000" w:themeColor="text1"/>
                      <w:kern w:val="0"/>
                      <w:sz w:val="21"/>
                      <w:szCs w:val="21"/>
                      <w:u w:val="single"/>
                      <w:vertAlign w:val="baseline"/>
                      <w:lang w:val="en-US" w:eastAsia="zh-CN"/>
                      <w14:textFill>
                        <w14:solidFill>
                          <w14:schemeClr w14:val="tx1"/>
                        </w14:solidFill>
                      </w14:textFill>
                    </w:rPr>
                    <w:t>项目须在完成土地报批手续后方可动工建设</w:t>
                  </w:r>
                </w:p>
              </w:tc>
              <w:tc>
                <w:tcPr>
                  <w:tcW w:w="940"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按要求实施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05"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邵阳县林业局</w:t>
                  </w:r>
                </w:p>
              </w:tc>
              <w:tc>
                <w:tcPr>
                  <w:tcW w:w="1594"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项目拟选址区域不涉及各类自然保护区、森林公园、濒危物种栖息地、天然保护工程区等</w:t>
                  </w:r>
                  <w:r>
                    <w:rPr>
                      <w:rFonts w:hint="eastAsia" w:cs="Times New Roman"/>
                      <w:color w:val="000000" w:themeColor="text1"/>
                      <w:kern w:val="0"/>
                      <w:sz w:val="21"/>
                      <w:szCs w:val="21"/>
                      <w:u w:val="single"/>
                      <w:vertAlign w:val="baseline"/>
                      <w:lang w:val="en-US" w:eastAsia="zh-CN"/>
                      <w14:textFill>
                        <w14:solidFill>
                          <w14:schemeClr w14:val="tx1"/>
                        </w14:solidFill>
                      </w14:textFill>
                    </w:rPr>
                    <w:t>禁止</w:t>
                  </w: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建设区域，原则同意项目选址</w:t>
                  </w:r>
                </w:p>
              </w:tc>
              <w:tc>
                <w:tcPr>
                  <w:tcW w:w="1559"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项目建设前应依法办理征占用林地相关手续后方可开工</w:t>
                  </w:r>
                </w:p>
              </w:tc>
              <w:tc>
                <w:tcPr>
                  <w:tcW w:w="940"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按要求实施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05"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邵阳市生态环境局邵阳县分局</w:t>
                  </w:r>
                </w:p>
              </w:tc>
              <w:tc>
                <w:tcPr>
                  <w:tcW w:w="1594"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原则同意</w:t>
                  </w:r>
                </w:p>
              </w:tc>
              <w:tc>
                <w:tcPr>
                  <w:tcW w:w="1559"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项目拟选址区域不得涉及饮用水水源保护地和环境敏感区，项目</w:t>
                  </w:r>
                  <w:r>
                    <w:rPr>
                      <w:rFonts w:hint="eastAsia" w:cs="Times New Roman"/>
                      <w:color w:val="000000" w:themeColor="text1"/>
                      <w:kern w:val="0"/>
                      <w:sz w:val="21"/>
                      <w:szCs w:val="21"/>
                      <w:u w:val="single"/>
                      <w:vertAlign w:val="baseline"/>
                      <w:lang w:val="en-US" w:eastAsia="zh-CN"/>
                      <w14:textFill>
                        <w14:solidFill>
                          <w14:schemeClr w14:val="tx1"/>
                        </w14:solidFill>
                      </w14:textFill>
                    </w:rPr>
                    <w:t>开工</w:t>
                  </w: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建设前必须依法</w:t>
                  </w:r>
                  <w:r>
                    <w:rPr>
                      <w:rFonts w:hint="eastAsia" w:cs="Times New Roman"/>
                      <w:color w:val="000000" w:themeColor="text1"/>
                      <w:kern w:val="0"/>
                      <w:sz w:val="21"/>
                      <w:szCs w:val="21"/>
                      <w:u w:val="single"/>
                      <w:vertAlign w:val="baseline"/>
                      <w:lang w:val="en-US" w:eastAsia="zh-CN"/>
                      <w14:textFill>
                        <w14:solidFill>
                          <w14:schemeClr w14:val="tx1"/>
                        </w14:solidFill>
                      </w14:textFill>
                    </w:rPr>
                    <w:t>依规</w:t>
                  </w: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进行环境影响评价并办理环评审批手续</w:t>
                  </w:r>
                </w:p>
              </w:tc>
              <w:tc>
                <w:tcPr>
                  <w:tcW w:w="940"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u w:val="single"/>
                      <w:vertAlign w:val="baseline"/>
                      <w:lang w:val="en-US" w:eastAsia="zh-CN"/>
                      <w14:textFill>
                        <w14:solidFill>
                          <w14:schemeClr w14:val="tx1"/>
                        </w14:solidFill>
                      </w14:textFill>
                    </w:rPr>
                  </w:pPr>
                  <w:r>
                    <w:rPr>
                      <w:rFonts w:hint="eastAsia" w:cs="Times New Roman"/>
                      <w:color w:val="000000" w:themeColor="text1"/>
                      <w:kern w:val="0"/>
                      <w:sz w:val="21"/>
                      <w:szCs w:val="21"/>
                      <w:u w:val="single"/>
                      <w:vertAlign w:val="baseline"/>
                      <w:lang w:val="en-US" w:eastAsia="zh-CN"/>
                      <w14:textFill>
                        <w14:solidFill>
                          <w14:schemeClr w14:val="tx1"/>
                        </w14:solidFill>
                      </w14:textFill>
                    </w:rPr>
                    <w:t>项目拟选址区域不涉及饮用水水源保护地和环境敏感区，目前正在办理环评手续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27" w:hRule="atLeast"/>
                <w:jc w:val="center"/>
              </w:trPr>
              <w:tc>
                <w:tcPr>
                  <w:tcW w:w="905"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邵阳县农业农村局</w:t>
                  </w:r>
                </w:p>
              </w:tc>
              <w:tc>
                <w:tcPr>
                  <w:tcW w:w="1594"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原则同意</w:t>
                  </w:r>
                </w:p>
              </w:tc>
              <w:tc>
                <w:tcPr>
                  <w:tcW w:w="1559"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项目建设过程中不得对农业生产特别是粮食安全造成影响</w:t>
                  </w:r>
                </w:p>
              </w:tc>
              <w:tc>
                <w:tcPr>
                  <w:tcW w:w="940"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按要求实施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05"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邵阳县水利局</w:t>
                  </w:r>
                </w:p>
              </w:tc>
              <w:tc>
                <w:tcPr>
                  <w:tcW w:w="1594"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原则同意</w:t>
                  </w:r>
                </w:p>
              </w:tc>
              <w:tc>
                <w:tcPr>
                  <w:tcW w:w="1559"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按政策要求做好水土保持“三同时”工作，委托符合资质要求的单位编制水土保持专题报告</w:t>
                  </w:r>
                </w:p>
              </w:tc>
              <w:tc>
                <w:tcPr>
                  <w:tcW w:w="940"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项目已委托符合资质要求的单位编制了水土保持报告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05"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中华人民解放军湖南省邵阳县人民武装部</w:t>
                  </w:r>
                </w:p>
              </w:tc>
              <w:tc>
                <w:tcPr>
                  <w:tcW w:w="1594"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原则同意</w:t>
                  </w:r>
                </w:p>
              </w:tc>
              <w:tc>
                <w:tcPr>
                  <w:tcW w:w="1559"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如施工过程中发现</w:t>
                  </w:r>
                  <w:r>
                    <w:rPr>
                      <w:rFonts w:hint="eastAsia" w:cs="Times New Roman"/>
                      <w:color w:val="000000" w:themeColor="text1"/>
                      <w:kern w:val="0"/>
                      <w:sz w:val="21"/>
                      <w:szCs w:val="21"/>
                      <w:u w:val="single"/>
                      <w:vertAlign w:val="baseline"/>
                      <w:lang w:val="en-US" w:eastAsia="zh-CN"/>
                      <w14:textFill>
                        <w14:solidFill>
                          <w14:schemeClr w14:val="tx1"/>
                        </w14:solidFill>
                      </w14:textFill>
                    </w:rPr>
                    <w:t>地下</w:t>
                  </w: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有国防光缆等军事和国防设施，及时与我部联系</w:t>
                  </w:r>
                </w:p>
              </w:tc>
              <w:tc>
                <w:tcPr>
                  <w:tcW w:w="940"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按要求实施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05"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邵阳县文化旅游广电体育局</w:t>
                  </w:r>
                </w:p>
              </w:tc>
              <w:tc>
                <w:tcPr>
                  <w:tcW w:w="1594"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原则同意</w:t>
                  </w:r>
                </w:p>
              </w:tc>
              <w:tc>
                <w:tcPr>
                  <w:tcW w:w="1559"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如施工过程中发现有地下文物出土或疑似文物，及时与我局联系</w:t>
                  </w:r>
                </w:p>
              </w:tc>
              <w:tc>
                <w:tcPr>
                  <w:tcW w:w="940" w:type="pc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u w:val="singl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single"/>
                      <w:vertAlign w:val="baseline"/>
                      <w:lang w:val="en-US" w:eastAsia="zh-CN"/>
                      <w14:textFill>
                        <w14:solidFill>
                          <w14:schemeClr w14:val="tx1"/>
                        </w14:solidFill>
                      </w14:textFill>
                    </w:rPr>
                    <w:t>按要求实施</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14:textFill>
                  <w14:solidFill>
                    <w14:schemeClr w14:val="tx1"/>
                  </w14:solidFill>
                </w14:textFill>
              </w:rPr>
            </w:pPr>
          </w:p>
        </w:tc>
      </w:tr>
    </w:tbl>
    <w:p>
      <w:pPr>
        <w:spacing w:line="360" w:lineRule="auto"/>
        <w:outlineLvl w:val="9"/>
        <w:rPr>
          <w:rFonts w:hint="default" w:ascii="Times New Roman" w:hAnsi="Times New Roman" w:eastAsia="黑体" w:cs="Times New Roman"/>
          <w:color w:val="000000" w:themeColor="text1"/>
          <w:sz w:val="30"/>
          <w14:textFill>
            <w14:solidFill>
              <w14:schemeClr w14:val="tx1"/>
            </w14:solidFill>
          </w14:textFill>
        </w:rPr>
        <w:sectPr>
          <w:footerReference r:id="rId7" w:type="default"/>
          <w:pgSz w:w="11906" w:h="16838"/>
          <w:pgMar w:top="1440" w:right="1587" w:bottom="1440" w:left="1587" w:header="851" w:footer="1077" w:gutter="0"/>
          <w:pgNumType w:fmt="decimal" w:start="1"/>
          <w:cols w:space="720" w:num="1"/>
          <w:docGrid w:linePitch="312" w:charSpace="0"/>
        </w:sectPr>
      </w:pP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b/>
          <w:bCs/>
          <w:snapToGrid w:val="0"/>
          <w:color w:val="000000" w:themeColor="text1"/>
          <w:sz w:val="30"/>
          <w:szCs w:val="30"/>
          <w14:textFill>
            <w14:solidFill>
              <w14:schemeClr w14:val="tx1"/>
            </w14:solidFill>
          </w14:textFill>
        </w:rPr>
      </w:pPr>
      <w:bookmarkStart w:id="12" w:name="_Toc4210"/>
      <w:r>
        <w:rPr>
          <w:rFonts w:hint="default" w:ascii="Times New Roman" w:hAnsi="Times New Roman" w:eastAsia="宋体" w:cs="Times New Roman"/>
          <w:b/>
          <w:bCs/>
          <w:snapToGrid w:val="0"/>
          <w:color w:val="000000" w:themeColor="text1"/>
          <w:sz w:val="30"/>
          <w:szCs w:val="30"/>
          <w14:textFill>
            <w14:solidFill>
              <w14:schemeClr w14:val="tx1"/>
            </w14:solidFill>
          </w14:textFill>
        </w:rPr>
        <w:t>二、建设内容</w:t>
      </w:r>
      <w:bookmarkEnd w:id="12"/>
    </w:p>
    <w:tbl>
      <w:tblPr>
        <w:tblStyle w:val="2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82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409"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地理位置</w:t>
            </w:r>
          </w:p>
        </w:tc>
        <w:tc>
          <w:tcPr>
            <w:tcW w:w="4590" w:type="pc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本项目位于</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湖南</w:t>
            </w:r>
            <w:r>
              <w:rPr>
                <w:rFonts w:hint="default" w:ascii="Times New Roman" w:hAnsi="Times New Roman" w:cs="Times New Roman"/>
                <w:color w:val="000000" w:themeColor="text1"/>
                <w:sz w:val="24"/>
                <w:szCs w:val="24"/>
                <w:highlight w:val="none"/>
                <w:u w:val="none"/>
                <w14:textFill>
                  <w14:solidFill>
                    <w14:schemeClr w14:val="tx1"/>
                  </w14:solidFill>
                </w14:textFill>
              </w:rPr>
              <w:t>省</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邵阳</w:t>
            </w:r>
            <w:r>
              <w:rPr>
                <w:rFonts w:hint="default" w:ascii="Times New Roman" w:hAnsi="Times New Roman" w:cs="Times New Roman"/>
                <w:color w:val="000000" w:themeColor="text1"/>
                <w:sz w:val="24"/>
                <w:szCs w:val="24"/>
                <w:highlight w:val="none"/>
                <w:u w:val="none"/>
                <w14:textFill>
                  <w14:solidFill>
                    <w14:schemeClr w14:val="tx1"/>
                  </w14:solidFill>
                </w14:textFill>
              </w:rPr>
              <w:t>市</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邵阳</w:t>
            </w:r>
            <w:r>
              <w:rPr>
                <w:rFonts w:hint="default" w:ascii="Times New Roman" w:hAnsi="Times New Roman" w:cs="Times New Roman"/>
                <w:color w:val="000000" w:themeColor="text1"/>
                <w:sz w:val="24"/>
                <w:szCs w:val="24"/>
                <w:highlight w:val="none"/>
                <w:u w:val="none"/>
                <w14:textFill>
                  <w14:solidFill>
                    <w14:schemeClr w14:val="tx1"/>
                  </w14:solidFill>
                </w14:textFill>
              </w:rPr>
              <w:t>县</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郦家坪镇</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中心坐标为北纬27°0′30.77</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″，东经111°38′12.85</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14:textFill>
                  <w14:solidFill>
                    <w14:schemeClr w14:val="tx1"/>
                  </w14:solidFill>
                </w14:textFill>
              </w:rPr>
              <w:t>本</w:t>
            </w:r>
            <w:r>
              <w:rPr>
                <w:rFonts w:hint="default" w:ascii="Times New Roman" w:hAnsi="Times New Roman" w:eastAsia="宋体" w:cs="Times New Roman"/>
                <w:color w:val="000000" w:themeColor="text1"/>
                <w:kern w:val="0"/>
                <w:sz w:val="24"/>
                <w14:textFill>
                  <w14:solidFill>
                    <w14:schemeClr w14:val="tx1"/>
                  </w14:solidFill>
                </w14:textFill>
              </w:rPr>
              <w:t>项目地理位置详见图1。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0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项目组成及规模</w:t>
            </w:r>
          </w:p>
        </w:tc>
        <w:tc>
          <w:tcPr>
            <w:tcW w:w="459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TimesNewRomanPS-BoldMT"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TimesNewRomanPS-BoldMT" w:cs="Times New Roman"/>
                <w:b/>
                <w:bCs w:val="0"/>
                <w:color w:val="000000" w:themeColor="text1"/>
                <w:sz w:val="24"/>
                <w:szCs w:val="24"/>
                <w:lang w:val="en-US" w:eastAsia="zh-CN"/>
                <w14:textFill>
                  <w14:solidFill>
                    <w14:schemeClr w14:val="tx1"/>
                  </w14:solidFill>
                </w14:textFill>
              </w:rPr>
              <w:t>1、项目由来</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u w:val="single"/>
                <w14:textFill>
                  <w14:solidFill>
                    <w14:schemeClr w14:val="tx1"/>
                  </w14:solidFill>
                </w14:textFill>
              </w:rPr>
            </w:pPr>
            <w:r>
              <w:rPr>
                <w:rFonts w:hint="default" w:ascii="Times New Roman" w:hAnsi="Times New Roman" w:eastAsia="宋体" w:cs="Times New Roman"/>
                <w:color w:val="000000" w:themeColor="text1"/>
                <w:kern w:val="2"/>
                <w:sz w:val="24"/>
                <w:szCs w:val="24"/>
                <w:u w:val="single"/>
                <w:lang w:val="en-US" w:eastAsia="zh-CN" w:bidi="ar-SA"/>
                <w14:textFill>
                  <w14:solidFill>
                    <w14:schemeClr w14:val="tx1"/>
                  </w14:solidFill>
                </w14:textFill>
              </w:rPr>
              <w:t>国能邵阳县</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新能源有限公司（公司为国家能源集团宝庆发电有限公司注册成立，负责</w:t>
            </w:r>
            <w:r>
              <w:rPr>
                <w:rFonts w:hint="default" w:ascii="Times New Roman" w:hAnsi="Times New Roman" w:eastAsia="宋体" w:cs="Times New Roman"/>
                <w:color w:val="000000" w:themeColor="text1"/>
                <w:sz w:val="24"/>
                <w:szCs w:val="24"/>
                <w:u w:val="single"/>
                <w14:textFill>
                  <w14:solidFill>
                    <w14:schemeClr w14:val="tx1"/>
                  </w14:solidFill>
                </w14:textFill>
              </w:rPr>
              <w:t>邵阳县郦家坪光伏发电项目</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的投资建设</w:t>
            </w:r>
            <w:r>
              <w:rPr>
                <w:rFonts w:hint="default" w:ascii="Times New Roman" w:hAnsi="Times New Roman" w:cs="Times New Roman"/>
                <w:color w:val="000000" w:themeColor="text1"/>
                <w:kern w:val="2"/>
                <w:sz w:val="24"/>
                <w:szCs w:val="24"/>
                <w:u w:val="single"/>
                <w:lang w:val="en-US" w:eastAsia="zh-CN" w:bidi="ar-SA"/>
                <w14:textFill>
                  <w14:solidFill>
                    <w14:schemeClr w14:val="tx1"/>
                  </w14:solidFill>
                </w14:textFill>
              </w:rPr>
              <w:t>）</w:t>
            </w:r>
            <w:r>
              <w:rPr>
                <w:rFonts w:hint="default" w:ascii="Times New Roman" w:hAnsi="Times New Roman" w:cs="Times New Roman"/>
                <w:color w:val="000000" w:themeColor="text1"/>
                <w:sz w:val="24"/>
                <w:u w:val="single"/>
                <w14:textFill>
                  <w14:solidFill>
                    <w14:schemeClr w14:val="tx1"/>
                  </w14:solidFill>
                </w14:textFill>
              </w:rPr>
              <w:t>拟</w:t>
            </w:r>
            <w:r>
              <w:rPr>
                <w:rFonts w:hint="default" w:ascii="Times New Roman" w:hAnsi="Times New Roman" w:eastAsia="宋体" w:cs="Times New Roman"/>
                <w:color w:val="000000" w:themeColor="text1"/>
                <w:kern w:val="2"/>
                <w:sz w:val="24"/>
                <w:szCs w:val="24"/>
                <w:u w:val="single"/>
                <w:lang w:val="en-US" w:eastAsia="zh-CN" w:bidi="ar-SA"/>
                <w14:textFill>
                  <w14:solidFill>
                    <w14:schemeClr w14:val="tx1"/>
                  </w14:solidFill>
                </w14:textFill>
              </w:rPr>
              <w:t>在邵阳县郦家坪镇建设</w:t>
            </w:r>
            <w:r>
              <w:rPr>
                <w:rFonts w:hint="default" w:ascii="Times New Roman" w:hAnsi="Times New Roman" w:eastAsia="宋体" w:cs="Times New Roman"/>
                <w:color w:val="000000" w:themeColor="text1"/>
                <w:sz w:val="24"/>
                <w:szCs w:val="24"/>
                <w:u w:val="single"/>
                <w14:textFill>
                  <w14:solidFill>
                    <w14:schemeClr w14:val="tx1"/>
                  </w14:solidFill>
                </w14:textFill>
              </w:rPr>
              <w:t>邵阳县郦家坪光伏发电项目</w:t>
            </w:r>
            <w:r>
              <w:rPr>
                <w:rFonts w:hint="default" w:ascii="Times New Roman" w:hAnsi="Times New Roman" w:eastAsia="宋体" w:cs="Times New Roman"/>
                <w:color w:val="000000" w:themeColor="text1"/>
                <w:kern w:val="2"/>
                <w:sz w:val="24"/>
                <w:szCs w:val="24"/>
                <w:u w:val="single"/>
                <w:lang w:val="en-US" w:eastAsia="zh-CN" w:bidi="ar-SA"/>
                <w14:textFill>
                  <w14:solidFill>
                    <w14:schemeClr w14:val="tx1"/>
                  </w14:solidFill>
                </w14:textFill>
              </w:rPr>
              <w:t>，</w:t>
            </w:r>
            <w:r>
              <w:rPr>
                <w:rFonts w:hint="eastAsia" w:cs="Times New Roman"/>
                <w:color w:val="000000" w:themeColor="text1"/>
                <w:kern w:val="2"/>
                <w:sz w:val="24"/>
                <w:szCs w:val="24"/>
                <w:u w:val="single"/>
                <w:lang w:val="en-US" w:eastAsia="zh-CN" w:bidi="ar-SA"/>
                <w14:textFill>
                  <w14:solidFill>
                    <w14:schemeClr w14:val="tx1"/>
                  </w14:solidFill>
                </w14:textFill>
              </w:rPr>
              <w:t>该项目</w:t>
            </w:r>
            <w:r>
              <w:rPr>
                <w:rFonts w:hint="default" w:ascii="Times New Roman" w:hAnsi="Times New Roman" w:eastAsia="宋体" w:cs="Times New Roman"/>
                <w:color w:val="000000" w:themeColor="text1"/>
                <w:kern w:val="2"/>
                <w:sz w:val="24"/>
                <w:szCs w:val="24"/>
                <w:u w:val="single"/>
                <w:lang w:val="en-US" w:eastAsia="zh-CN" w:bidi="ar-SA"/>
                <w14:textFill>
                  <w14:solidFill>
                    <w14:schemeClr w14:val="tx1"/>
                  </w14:solidFill>
                </w14:textFill>
              </w:rPr>
              <w:t>总占地面积为266.4850hm</w:t>
            </w:r>
            <w:r>
              <w:rPr>
                <w:rFonts w:hint="default" w:ascii="Times New Roman" w:hAnsi="Times New Roman" w:eastAsia="宋体" w:cs="Times New Roman"/>
                <w:color w:val="000000" w:themeColor="text1"/>
                <w:kern w:val="2"/>
                <w:sz w:val="24"/>
                <w:szCs w:val="24"/>
                <w:u w:val="singl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u w:val="single"/>
                <w:lang w:val="en-US" w:eastAsia="zh-CN" w:bidi="ar-SA"/>
                <w14:textFill>
                  <w14:solidFill>
                    <w14:schemeClr w14:val="tx1"/>
                  </w14:solidFill>
                </w14:textFill>
              </w:rPr>
              <w:t>，共装设285000 块标准功率为655Wp的高效单晶硅组件，每30块组件成一串。光伏场区布置设计方案采用独立子方阵，共69个光伏子方阵，其中有34个光伏子方阵接入5台300kW组串式逆变器，每个子阵箱变容量为1600kW，有17个光伏子方阵接入7台300kW组串式逆变器，每个子阵箱变容量为2250kW，有18个光伏子方阵接入10台300kW组串式逆变器，每个子阵箱变容量为3200kW，每台逆变器接19-21串光伏组件，逆变器出口电压为0.8kV。光伏电站交流侧容量为150MW，直流侧容量186.675MWp，容配比为1.2445：1。电站共配置69台箱式变压器和469 台300kW 型组串式逆变器。逆变器输出的交流电接至箱式变压器低压侧，将电压从800V 升至35kV。根据箱式变电站的位置以及线路的走向，全站69个发电单元共分为6组，通过6回35kV集电线路送入新建的110kV升压站的35kV母线上。</w:t>
            </w:r>
            <w:r>
              <w:rPr>
                <w:rFonts w:hint="default" w:ascii="Times New Roman" w:hAnsi="Times New Roman" w:cs="Times New Roman"/>
                <w:color w:val="000000" w:themeColor="text1"/>
                <w:sz w:val="24"/>
                <w:u w:val="single"/>
                <w14:textFill>
                  <w14:solidFill>
                    <w14:schemeClr w14:val="tx1"/>
                  </w14:solidFill>
                </w14:textFill>
              </w:rPr>
              <w:t>本项目为</w:t>
            </w:r>
            <w:r>
              <w:rPr>
                <w:rFonts w:hint="default" w:ascii="Times New Roman" w:hAnsi="Times New Roman" w:eastAsia="宋体" w:cs="Times New Roman"/>
                <w:color w:val="000000" w:themeColor="text1"/>
                <w:sz w:val="24"/>
                <w:szCs w:val="24"/>
                <w:u w:val="single"/>
                <w14:textFill>
                  <w14:solidFill>
                    <w14:schemeClr w14:val="tx1"/>
                  </w14:solidFill>
                </w14:textFill>
              </w:rPr>
              <w:t>邵阳县郦家坪光伏发电项目</w:t>
            </w:r>
            <w:r>
              <w:rPr>
                <w:rFonts w:hint="default" w:ascii="Times New Roman" w:hAnsi="Times New Roman" w:cs="Times New Roman"/>
                <w:color w:val="000000" w:themeColor="text1"/>
                <w:sz w:val="24"/>
                <w:u w:val="single"/>
                <w14:textFill>
                  <w14:solidFill>
                    <w14:schemeClr w14:val="tx1"/>
                  </w14:solidFill>
                </w14:textFill>
              </w:rPr>
              <w:t>配套的电力设施，规模为110k</w:t>
            </w:r>
            <w:r>
              <w:rPr>
                <w:rFonts w:hint="default" w:ascii="Times New Roman" w:hAnsi="Times New Roman" w:cs="Times New Roman"/>
                <w:color w:val="000000" w:themeColor="text1"/>
                <w:sz w:val="24"/>
                <w:u w:val="single"/>
                <w:lang w:val="en-US" w:eastAsia="zh-CN"/>
                <w14:textFill>
                  <w14:solidFill>
                    <w14:schemeClr w14:val="tx1"/>
                  </w14:solidFill>
                </w14:textFill>
              </w:rPr>
              <w:t>V</w:t>
            </w:r>
            <w:r>
              <w:rPr>
                <w:rFonts w:hint="default" w:ascii="Times New Roman" w:hAnsi="Times New Roman" w:cs="Times New Roman"/>
                <w:color w:val="000000" w:themeColor="text1"/>
                <w:sz w:val="24"/>
                <w:u w:val="single"/>
                <w14:textFill>
                  <w14:solidFill>
                    <w14:schemeClr w14:val="tx1"/>
                  </w14:solidFill>
                </w14:textFill>
              </w:rPr>
              <w:t>升压站</w:t>
            </w:r>
            <w:r>
              <w:rPr>
                <w:rFonts w:hint="eastAsia" w:cs="Times New Roman"/>
                <w:color w:val="000000" w:themeColor="text1"/>
                <w:sz w:val="24"/>
                <w:u w:val="single"/>
                <w:lang w:eastAsia="zh-CN"/>
                <w14:textFill>
                  <w14:solidFill>
                    <w14:schemeClr w14:val="tx1"/>
                  </w14:solidFill>
                </w14:textFill>
              </w:rPr>
              <w:t>，升压站选址位于</w:t>
            </w:r>
            <w:r>
              <w:rPr>
                <w:rFonts w:hint="default" w:ascii="Times New Roman" w:hAnsi="Times New Roman" w:eastAsia="宋体" w:cs="Times New Roman"/>
                <w:color w:val="000000" w:themeColor="text1"/>
                <w:sz w:val="24"/>
                <w:szCs w:val="24"/>
                <w:u w:val="single"/>
                <w14:textFill>
                  <w14:solidFill>
                    <w14:schemeClr w14:val="tx1"/>
                  </w14:solidFill>
                </w14:textFill>
              </w:rPr>
              <w:t>邵阳县郦家坪光伏发电项目</w:t>
            </w:r>
            <w:r>
              <w:rPr>
                <w:rFonts w:hint="eastAsia" w:cs="Times New Roman"/>
                <w:color w:val="000000" w:themeColor="text1"/>
                <w:sz w:val="24"/>
                <w:szCs w:val="24"/>
                <w:u w:val="single"/>
                <w:lang w:eastAsia="zh-CN"/>
                <w14:textFill>
                  <w14:solidFill>
                    <w14:schemeClr w14:val="tx1"/>
                  </w14:solidFill>
                </w14:textFill>
              </w:rPr>
              <w:t>用地范围内</w:t>
            </w:r>
            <w:r>
              <w:rPr>
                <w:rFonts w:hint="default" w:ascii="Times New Roman" w:hAnsi="Times New Roman" w:cs="Times New Roman"/>
                <w:color w:val="000000" w:themeColor="text1"/>
                <w:sz w:val="24"/>
                <w:u w:val="single"/>
                <w14:textFill>
                  <w14:solidFill>
                    <w14:schemeClr w14:val="tx1"/>
                  </w14:solidFill>
                </w14:textFill>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lang w:val="en-US" w:eastAsia="zh-CN" w:bidi="ar-SA"/>
                <w14:textFill>
                  <w14:solidFill>
                    <w14:schemeClr w14:val="tx1"/>
                  </w14:solidFill>
                </w14:textFill>
              </w:rPr>
              <w:t>国能邵阳县新能源有限公司</w:t>
            </w:r>
            <w:r>
              <w:rPr>
                <w:rFonts w:hint="default" w:ascii="Times New Roman" w:hAnsi="Times New Roman" w:cs="Times New Roman"/>
                <w:color w:val="000000" w:themeColor="text1"/>
                <w:sz w:val="24"/>
                <w:szCs w:val="24"/>
                <w:highlight w:val="none"/>
                <w:u w:val="single"/>
                <w:lang w:eastAsia="zh-CN"/>
                <w14:textFill>
                  <w14:solidFill>
                    <w14:schemeClr w14:val="tx1"/>
                  </w14:solidFill>
                </w14:textFill>
              </w:rPr>
              <w:t>已于</w:t>
            </w:r>
            <w:r>
              <w:rPr>
                <w:rFonts w:hint="default" w:ascii="Times New Roman" w:hAnsi="Times New Roman" w:cs="Times New Roman"/>
                <w:color w:val="000000" w:themeColor="text1"/>
                <w:sz w:val="24"/>
                <w:szCs w:val="24"/>
                <w:highlight w:val="none"/>
                <w:u w:val="single"/>
                <w:lang w:val="en-US" w:eastAsia="zh-CN"/>
                <w14:textFill>
                  <w14:solidFill>
                    <w14:schemeClr w14:val="tx1"/>
                  </w14:solidFill>
                </w14:textFill>
              </w:rPr>
              <w:t>2023年4月委托</w:t>
            </w:r>
            <w:r>
              <w:rPr>
                <w:rFonts w:hint="default" w:ascii="Times New Roman" w:hAnsi="Times New Roman" w:eastAsia="宋体" w:cs="Times New Roman"/>
                <w:color w:val="000000" w:themeColor="text1"/>
                <w:kern w:val="0"/>
                <w:sz w:val="24"/>
                <w:szCs w:val="24"/>
                <w:highlight w:val="none"/>
                <w:u w:val="single"/>
                <w:lang w:val="en-US" w:eastAsia="zh-CN" w:bidi="ar"/>
                <w14:textFill>
                  <w14:solidFill>
                    <w14:schemeClr w14:val="tx1"/>
                  </w14:solidFill>
                </w14:textFill>
              </w:rPr>
              <w:t>湖南宏晟环保技术研究院有限公司</w:t>
            </w:r>
            <w:r>
              <w:rPr>
                <w:rFonts w:hint="default" w:ascii="Times New Roman" w:hAnsi="Times New Roman" w:cs="Times New Roman"/>
                <w:color w:val="000000" w:themeColor="text1"/>
                <w:kern w:val="0"/>
                <w:sz w:val="24"/>
                <w:szCs w:val="24"/>
                <w:highlight w:val="none"/>
                <w:u w:val="single"/>
                <w:lang w:val="en-US" w:eastAsia="zh-CN" w:bidi="ar"/>
                <w14:textFill>
                  <w14:solidFill>
                    <w14:schemeClr w14:val="tx1"/>
                  </w14:solidFill>
                </w14:textFill>
              </w:rPr>
              <w:t>编制了《</w:t>
            </w:r>
            <w:r>
              <w:rPr>
                <w:rFonts w:hint="default" w:ascii="Times New Roman" w:hAnsi="Times New Roman" w:eastAsia="宋体" w:cs="Times New Roman"/>
                <w:color w:val="000000" w:themeColor="text1"/>
                <w:sz w:val="24"/>
                <w:szCs w:val="24"/>
                <w:highlight w:val="none"/>
                <w:u w:val="single"/>
                <w14:textFill>
                  <w14:solidFill>
                    <w14:schemeClr w14:val="tx1"/>
                  </w14:solidFill>
                </w14:textFill>
              </w:rPr>
              <w:t>邵阳县郦家坪光伏发电项目</w:t>
            </w:r>
            <w:r>
              <w:rPr>
                <w:rFonts w:hint="default" w:ascii="Times New Roman" w:hAnsi="Times New Roman" w:cs="Times New Roman"/>
                <w:color w:val="000000" w:themeColor="text1"/>
                <w:sz w:val="24"/>
                <w:szCs w:val="24"/>
                <w:highlight w:val="none"/>
                <w:u w:val="single"/>
                <w:lang w:eastAsia="zh-CN"/>
                <w14:textFill>
                  <w14:solidFill>
                    <w14:schemeClr w14:val="tx1"/>
                  </w14:solidFill>
                </w14:textFill>
              </w:rPr>
              <w:t>环境影响评价报告表</w:t>
            </w:r>
            <w:r>
              <w:rPr>
                <w:rFonts w:hint="default" w:ascii="Times New Roman" w:hAnsi="Times New Roman" w:cs="Times New Roman"/>
                <w:color w:val="000000" w:themeColor="text1"/>
                <w:kern w:val="0"/>
                <w:sz w:val="24"/>
                <w:szCs w:val="24"/>
                <w:highlight w:val="none"/>
                <w:u w:val="single"/>
                <w:lang w:val="en-US" w:eastAsia="zh-CN" w:bidi="ar"/>
                <w14:textFill>
                  <w14:solidFill>
                    <w14:schemeClr w14:val="tx1"/>
                  </w14:solidFill>
                </w14:textFill>
              </w:rPr>
              <w:t>》，</w:t>
            </w:r>
            <w:r>
              <w:rPr>
                <w:rFonts w:hint="default" w:ascii="Times New Roman" w:hAnsi="Times New Roman" w:cs="Times New Roman"/>
                <w:color w:val="000000" w:themeColor="text1"/>
                <w:sz w:val="24"/>
                <w:highlight w:val="none"/>
                <w:u w:val="single"/>
                <w14:textFill>
                  <w14:solidFill>
                    <w14:schemeClr w14:val="tx1"/>
                  </w14:solidFill>
                </w14:textFill>
              </w:rPr>
              <w:t>根据《中华人民共和国环境影响评价法》（2018年12月29日修订）、《国务院关于修改〈建设项目环境保护管理条例〉的决定》（国务院令第682号）等法律法规，项目</w:t>
            </w:r>
            <w:r>
              <w:rPr>
                <w:rFonts w:hint="eastAsia" w:cs="Times New Roman"/>
                <w:color w:val="000000" w:themeColor="text1"/>
                <w:sz w:val="24"/>
                <w:highlight w:val="none"/>
                <w:u w:val="single"/>
                <w:lang w:eastAsia="zh-CN"/>
                <w14:textFill>
                  <w14:solidFill>
                    <w14:schemeClr w14:val="tx1"/>
                  </w14:solidFill>
                </w14:textFill>
              </w:rPr>
              <w:t>升压站需单独开展</w:t>
            </w:r>
            <w:r>
              <w:rPr>
                <w:rFonts w:hint="default" w:ascii="Times New Roman" w:hAnsi="Times New Roman" w:cs="Times New Roman"/>
                <w:color w:val="000000" w:themeColor="text1"/>
                <w:sz w:val="24"/>
                <w:highlight w:val="none"/>
                <w:u w:val="single"/>
                <w14:textFill>
                  <w14:solidFill>
                    <w14:schemeClr w14:val="tx1"/>
                  </w14:solidFill>
                </w14:textFill>
              </w:rPr>
              <w:t>环境影响评价。根据《建设项目环境影响评价分类管理名录》（2021年版），新建110</w:t>
            </w:r>
            <w:r>
              <w:rPr>
                <w:rFonts w:hint="default" w:ascii="Times New Roman" w:hAnsi="Times New Roman" w:cs="Times New Roman"/>
                <w:color w:val="000000" w:themeColor="text1"/>
                <w:sz w:val="24"/>
                <w:highlight w:val="none"/>
                <w:u w:val="single"/>
                <w:lang w:val="en-US" w:eastAsia="zh-CN"/>
                <w14:textFill>
                  <w14:solidFill>
                    <w14:schemeClr w14:val="tx1"/>
                  </w14:solidFill>
                </w14:textFill>
              </w:rPr>
              <w:t>kV</w:t>
            </w:r>
            <w:r>
              <w:rPr>
                <w:rFonts w:hint="default" w:ascii="Times New Roman" w:hAnsi="Times New Roman" w:cs="Times New Roman"/>
                <w:color w:val="000000" w:themeColor="text1"/>
                <w:sz w:val="24"/>
                <w:highlight w:val="none"/>
                <w:u w:val="single"/>
                <w14:textFill>
                  <w14:solidFill>
                    <w14:schemeClr w14:val="tx1"/>
                  </w14:solidFill>
                </w14:textFill>
              </w:rPr>
              <w:t>升压站属于“五十五、核与辐射”中“161 输变电工程”的“其他（100 千伏以下除外）”，需编制环境影响评价报告表。</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受</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国能邵阳县新能源有限公司</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委托，湖南宏晟环保技术研究院有限公司（以下简称我公司）承担本项目环境影响评价工作，我公司接收委托后，对项目进行了现场踏勘和资料收集，在工程分析及影响分析的基础上，按相关技术规范编制本项目环境影响报告表。</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szCs w:val="24"/>
                <w:u w:val="none"/>
                <w:lang w:val="en-US" w:eastAsia="zh-CN" w:bidi="ar"/>
                <w14:textFill>
                  <w14:solidFill>
                    <w14:schemeClr w14:val="tx1"/>
                  </w14:solidFill>
                </w14:textFill>
              </w:rPr>
            </w:pPr>
            <w:r>
              <w:rPr>
                <w:rFonts w:hint="default" w:ascii="Times New Roman" w:hAnsi="Times New Roman" w:cs="Times New Roman"/>
                <w:b w:val="0"/>
                <w:bCs w:val="0"/>
                <w:color w:val="000000" w:themeColor="text1"/>
                <w:sz w:val="24"/>
                <w:u w:val="none"/>
                <w:lang w:val="en-US" w:eastAsia="zh-CN"/>
                <w14:textFill>
                  <w14:solidFill>
                    <w14:schemeClr w14:val="tx1"/>
                  </w14:solidFill>
                </w14:textFill>
              </w:rPr>
              <w:t>项目升压站送出线路不在此次设计范围内，将另行环评，</w:t>
            </w:r>
            <w:r>
              <w:rPr>
                <w:rFonts w:hint="default" w:ascii="Times New Roman" w:hAnsi="Times New Roman" w:cs="Times New Roman"/>
                <w:color w:val="000000" w:themeColor="text1"/>
                <w:kern w:val="0"/>
                <w:sz w:val="24"/>
                <w:szCs w:val="24"/>
                <w:highlight w:val="none"/>
                <w:u w:val="none"/>
                <w:lang w:val="en-US" w:eastAsia="zh-CN" w:bidi="ar"/>
                <w14:textFill>
                  <w14:solidFill>
                    <w14:schemeClr w14:val="tx1"/>
                  </w14:solidFill>
                </w14:textFill>
              </w:rPr>
              <w:t>送出线路由电网公司建设。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TimesNewRomanPS-BoldMT" w:cs="Times New Roman"/>
                <w:b/>
                <w:bC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val="0"/>
                <w:color w:val="000000" w:themeColor="text1"/>
                <w:sz w:val="24"/>
                <w:szCs w:val="24"/>
                <w14:textFill>
                  <w14:solidFill>
                    <w14:schemeClr w14:val="tx1"/>
                  </w14:solidFill>
                </w14:textFill>
              </w:rPr>
              <w:t>、项目建设概况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项目名称：邵阳县郦家坪光伏发电项目</w:t>
            </w:r>
            <w:r>
              <w:rPr>
                <w:rFonts w:hint="default" w:ascii="Times New Roman" w:hAnsi="Times New Roman" w:cs="Times New Roman"/>
                <w:color w:val="000000" w:themeColor="text1"/>
                <w:sz w:val="24"/>
                <w:szCs w:val="24"/>
                <w:lang w:val="en-US" w:eastAsia="zh-CN"/>
                <w14:textFill>
                  <w14:solidFill>
                    <w14:schemeClr w14:val="tx1"/>
                  </w14:solidFill>
                </w14:textFill>
              </w:rPr>
              <w:t>110KV升压站工程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建设地点：</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湖南</w:t>
            </w:r>
            <w:r>
              <w:rPr>
                <w:rFonts w:hint="default" w:ascii="Times New Roman" w:hAnsi="Times New Roman" w:cs="Times New Roman"/>
                <w:color w:val="000000" w:themeColor="text1"/>
                <w:sz w:val="24"/>
                <w:szCs w:val="24"/>
                <w:highlight w:val="none"/>
                <w:u w:val="none"/>
                <w14:textFill>
                  <w14:solidFill>
                    <w14:schemeClr w14:val="tx1"/>
                  </w14:solidFill>
                </w14:textFill>
              </w:rPr>
              <w:t>省</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邵阳</w:t>
            </w:r>
            <w:r>
              <w:rPr>
                <w:rFonts w:hint="default" w:ascii="Times New Roman" w:hAnsi="Times New Roman" w:cs="Times New Roman"/>
                <w:color w:val="000000" w:themeColor="text1"/>
                <w:sz w:val="24"/>
                <w:szCs w:val="24"/>
                <w:highlight w:val="none"/>
                <w:u w:val="none"/>
                <w14:textFill>
                  <w14:solidFill>
                    <w14:schemeClr w14:val="tx1"/>
                  </w14:solidFill>
                </w14:textFill>
              </w:rPr>
              <w:t>市</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邵阳</w:t>
            </w:r>
            <w:r>
              <w:rPr>
                <w:rFonts w:hint="default" w:ascii="Times New Roman" w:hAnsi="Times New Roman" w:cs="Times New Roman"/>
                <w:color w:val="000000" w:themeColor="text1"/>
                <w:sz w:val="24"/>
                <w:szCs w:val="24"/>
                <w:highlight w:val="none"/>
                <w:u w:val="none"/>
                <w14:textFill>
                  <w14:solidFill>
                    <w14:schemeClr w14:val="tx1"/>
                  </w14:solidFill>
                </w14:textFill>
              </w:rPr>
              <w:t>县</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郦家坪镇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建设单位：国能邵阳县新能源有限公司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建设规模：本项目新建1 台主变（户外布置），容量为1</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0MVA。</w:t>
            </w:r>
            <w:r>
              <w:rPr>
                <w:rFonts w:hint="default" w:ascii="Times New Roman" w:hAnsi="Times New Roman" w:cs="Times New Roman"/>
                <w:b w:val="0"/>
                <w:bCs w:val="0"/>
                <w:color w:val="000000" w:themeColor="text1"/>
                <w:sz w:val="24"/>
                <w:lang w:val="en-US" w:eastAsia="zh-CN"/>
                <w14:textFill>
                  <w14:solidFill>
                    <w14:schemeClr w14:val="tx1"/>
                  </w14:solidFill>
                </w14:textFill>
              </w:rPr>
              <w:t>升压站拟以1回110kV架空线就近接入檀江220kV变电站</w:t>
            </w:r>
            <w:r>
              <w:rPr>
                <w:rFonts w:hint="default" w:ascii="Times New Roman" w:hAnsi="Times New Roman" w:eastAsia="宋体" w:cs="Times New Roman"/>
                <w:color w:val="000000" w:themeColor="text1"/>
                <w:sz w:val="24"/>
                <w:szCs w:val="24"/>
                <w14:textFill>
                  <w14:solidFill>
                    <w14:schemeClr w14:val="tx1"/>
                  </w14:solidFill>
                </w14:textFill>
              </w:rPr>
              <w:t>，送出线路工程不在本次评价范围内。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项目投资金额：</w:t>
            </w:r>
            <w:r>
              <w:rPr>
                <w:rFonts w:hint="default" w:ascii="Times New Roman" w:hAnsi="Times New Roman" w:cs="Times New Roman"/>
                <w:color w:val="000000" w:themeColor="text1"/>
                <w:sz w:val="24"/>
                <w:szCs w:val="21"/>
                <w:highlight w:val="none"/>
                <w:lang w:val="en-US" w:eastAsia="zh-CN"/>
                <w14:textFill>
                  <w14:solidFill>
                    <w14:schemeClr w14:val="tx1"/>
                  </w14:solidFill>
                </w14:textFill>
              </w:rPr>
              <w:t>1600</w:t>
            </w:r>
            <w:r>
              <w:rPr>
                <w:rFonts w:hint="default" w:ascii="Times New Roman" w:hAnsi="Times New Roman" w:eastAsia="宋体" w:cs="Times New Roman"/>
                <w:color w:val="000000" w:themeColor="text1"/>
                <w:sz w:val="24"/>
                <w:szCs w:val="24"/>
                <w14:textFill>
                  <w14:solidFill>
                    <w14:schemeClr w14:val="tx1"/>
                  </w14:solidFill>
                </w14:textFill>
              </w:rPr>
              <w:t>万元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用地面积：总占地面积为</w:t>
            </w:r>
            <w:r>
              <w:rPr>
                <w:rFonts w:hint="default" w:ascii="Times New Roman" w:hAnsi="Times New Roman" w:cs="Times New Roman"/>
                <w:color w:val="000000" w:themeColor="text1"/>
                <w:sz w:val="24"/>
                <w:szCs w:val="24"/>
                <w:lang w:val="en-US" w:eastAsia="zh-CN"/>
                <w14:textFill>
                  <w14:solidFill>
                    <w14:schemeClr w14:val="tx1"/>
                  </w14:solidFill>
                </w14:textFill>
              </w:rPr>
              <w:t>8000</w:t>
            </w:r>
            <w:r>
              <w:rPr>
                <w:rFonts w:hint="default" w:ascii="Times New Roman" w:hAnsi="Times New Roman" w:eastAsia="TimesNewRomanPSMT"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项目性质：新建</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3、主要建设内容</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b w:val="0"/>
                <w:bCs w:val="0"/>
                <w:color w:val="000000" w:themeColor="text1"/>
                <w:sz w:val="24"/>
                <w:lang w:val="en-US" w:eastAsia="zh-CN"/>
                <w14:textFill>
                  <w14:solidFill>
                    <w14:schemeClr w14:val="tx1"/>
                  </w14:solidFill>
                </w14:textFill>
              </w:rPr>
              <w:t>本项目新建一座110kV升压站，总占地面积8000m</w:t>
            </w:r>
            <w:r>
              <w:rPr>
                <w:rFonts w:hint="default" w:ascii="Times New Roman" w:hAnsi="Times New Roman" w:cs="Times New Roman"/>
                <w:b w:val="0"/>
                <w:bCs w:val="0"/>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b w:val="0"/>
                <w:bCs w:val="0"/>
                <w:color w:val="000000" w:themeColor="text1"/>
                <w:sz w:val="24"/>
                <w:lang w:val="en-US" w:eastAsia="zh-CN"/>
                <w14:textFill>
                  <w14:solidFill>
                    <w14:schemeClr w14:val="tx1"/>
                  </w14:solidFill>
                </w14:textFill>
              </w:rPr>
              <w:t>，安装1台容量为150MVA有载调压升压变压器。升压站内主要布置了综合楼、主变压器、电气一次、二次联合预制舱、SVG支路、FC支路、GIS构架、事故油池、附属用房、危废暂存间、备用变、站用兼接地变、独立避雷针、污水处理装置等相关建(构)筑物。本项目工程内容建设内容见表2-1。</w:t>
            </w:r>
          </w:p>
          <w:p>
            <w:pPr>
              <w:keepNext w:val="0"/>
              <w:keepLines w:val="0"/>
              <w:suppressLineNumbers w:val="0"/>
              <w:spacing w:before="0" w:beforeAutospacing="0" w:after="0" w:afterAutospacing="0"/>
              <w:ind w:left="0" w:right="0" w:firstLine="482"/>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表2-1 项目工程组成</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155"/>
              <w:gridCol w:w="4921"/>
              <w:gridCol w:w="12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6" w:hRule="atLeast"/>
                <w:jc w:val="center"/>
              </w:trPr>
              <w:tc>
                <w:tcPr>
                  <w:tcW w:w="40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14:textFill>
                        <w14:solidFill>
                          <w14:schemeClr w14:val="tx1"/>
                        </w14:solidFill>
                      </w14:textFill>
                    </w:rPr>
                    <w:t>分类</w:t>
                  </w:r>
                </w:p>
              </w:tc>
              <w:tc>
                <w:tcPr>
                  <w:tcW w:w="72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14:textFill>
                        <w14:solidFill>
                          <w14:schemeClr w14:val="tx1"/>
                        </w14:solidFill>
                      </w14:textFill>
                    </w:rPr>
                    <w:t>项目</w:t>
                  </w:r>
                </w:p>
              </w:tc>
              <w:tc>
                <w:tcPr>
                  <w:tcW w:w="30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14:textFill>
                        <w14:solidFill>
                          <w14:schemeClr w14:val="tx1"/>
                        </w14:solidFill>
                      </w14:textFill>
                    </w:rPr>
                    <w:t>工程内容</w:t>
                  </w:r>
                </w:p>
              </w:tc>
              <w:tc>
                <w:tcPr>
                  <w:tcW w:w="7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u w:val="single"/>
                      <w:lang w:eastAsia="zh-CN"/>
                      <w14:textFill>
                        <w14:solidFill>
                          <w14:schemeClr w14:val="tx1"/>
                        </w14:solidFill>
                      </w14:textFill>
                    </w:rPr>
                  </w:pPr>
                  <w:r>
                    <w:rPr>
                      <w:rFonts w:hint="default" w:ascii="Times New Roman" w:hAnsi="Times New Roman" w:cs="Times New Roman"/>
                      <w:b/>
                      <w:bCs/>
                      <w:color w:val="000000" w:themeColor="text1"/>
                      <w:sz w:val="21"/>
                      <w:szCs w:val="21"/>
                      <w:u w:val="single"/>
                      <w:lang w:eastAsia="zh-CN"/>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01"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主体工程</w:t>
                  </w:r>
                </w:p>
              </w:tc>
              <w:tc>
                <w:tcPr>
                  <w:tcW w:w="72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主变压器</w:t>
                  </w:r>
                </w:p>
              </w:tc>
              <w:tc>
                <w:tcPr>
                  <w:tcW w:w="30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TimesNewRomanPSMT" w:cs="Times New Roman"/>
                      <w:color w:val="000000" w:themeColor="text1"/>
                      <w:sz w:val="21"/>
                      <w:szCs w:val="24"/>
                      <w:u w:val="single"/>
                      <w14:textFill>
                        <w14:solidFill>
                          <w14:schemeClr w14:val="tx1"/>
                        </w14:solidFill>
                      </w14:textFill>
                    </w:rPr>
                    <w:t xml:space="preserve">1 </w:t>
                  </w:r>
                  <w:r>
                    <w:rPr>
                      <w:rFonts w:hint="default" w:ascii="Times New Roman" w:hAnsi="Times New Roman" w:eastAsia="宋体" w:cs="Times New Roman"/>
                      <w:color w:val="000000" w:themeColor="text1"/>
                      <w:sz w:val="21"/>
                      <w:szCs w:val="24"/>
                      <w:u w:val="single"/>
                      <w14:textFill>
                        <w14:solidFill>
                          <w14:schemeClr w14:val="tx1"/>
                        </w14:solidFill>
                      </w14:textFill>
                    </w:rPr>
                    <w:t>台容量</w:t>
                  </w:r>
                  <w:r>
                    <w:rPr>
                      <w:rFonts w:hint="default" w:ascii="Times New Roman" w:hAnsi="Times New Roman" w:eastAsia="TimesNewRomanPSMT" w:cs="Times New Roman"/>
                      <w:color w:val="000000" w:themeColor="text1"/>
                      <w:sz w:val="21"/>
                      <w:szCs w:val="24"/>
                      <w:u w:val="single"/>
                      <w14:textFill>
                        <w14:solidFill>
                          <w14:schemeClr w14:val="tx1"/>
                        </w14:solidFill>
                      </w14:textFill>
                    </w:rPr>
                    <w:t>1</w:t>
                  </w:r>
                  <w:r>
                    <w:rPr>
                      <w:rFonts w:hint="default" w:ascii="Times New Roman" w:hAnsi="Times New Roman" w:eastAsia="宋体" w:cs="Times New Roman"/>
                      <w:color w:val="000000" w:themeColor="text1"/>
                      <w:sz w:val="21"/>
                      <w:szCs w:val="24"/>
                      <w:u w:val="single"/>
                      <w:lang w:val="en-US" w:eastAsia="zh-CN"/>
                      <w14:textFill>
                        <w14:solidFill>
                          <w14:schemeClr w14:val="tx1"/>
                        </w14:solidFill>
                      </w14:textFill>
                    </w:rPr>
                    <w:t>5</w:t>
                  </w:r>
                  <w:r>
                    <w:rPr>
                      <w:rFonts w:hint="default" w:ascii="Times New Roman" w:hAnsi="Times New Roman" w:eastAsia="TimesNewRomanPSMT" w:cs="Times New Roman"/>
                      <w:color w:val="000000" w:themeColor="text1"/>
                      <w:sz w:val="21"/>
                      <w:szCs w:val="24"/>
                      <w:u w:val="single"/>
                      <w14:textFill>
                        <w14:solidFill>
                          <w14:schemeClr w14:val="tx1"/>
                        </w14:solidFill>
                      </w14:textFill>
                    </w:rPr>
                    <w:t>0MVA</w:t>
                  </w:r>
                  <w:r>
                    <w:rPr>
                      <w:rFonts w:hint="default" w:ascii="Times New Roman" w:hAnsi="Times New Roman" w:eastAsia="宋体" w:cs="Times New Roman"/>
                      <w:color w:val="000000" w:themeColor="text1"/>
                      <w:sz w:val="21"/>
                      <w:szCs w:val="24"/>
                      <w:u w:val="single"/>
                      <w14:textFill>
                        <w14:solidFill>
                          <w14:schemeClr w14:val="tx1"/>
                        </w14:solidFill>
                      </w14:textFill>
                    </w:rPr>
                    <w:t>、额定电压</w:t>
                  </w:r>
                  <w:r>
                    <w:rPr>
                      <w:rFonts w:hint="default" w:ascii="Times New Roman" w:hAnsi="Times New Roman" w:eastAsia="TimesNewRomanPSMT" w:cs="Times New Roman"/>
                      <w:color w:val="000000" w:themeColor="text1"/>
                      <w:sz w:val="21"/>
                      <w:szCs w:val="24"/>
                      <w:u w:val="single"/>
                      <w14:textFill>
                        <w14:solidFill>
                          <w14:schemeClr w14:val="tx1"/>
                        </w14:solidFill>
                      </w14:textFill>
                    </w:rPr>
                    <w:t xml:space="preserve">110kV </w:t>
                  </w:r>
                  <w:r>
                    <w:rPr>
                      <w:rFonts w:hint="default" w:ascii="Times New Roman" w:hAnsi="Times New Roman" w:eastAsia="宋体" w:cs="Times New Roman"/>
                      <w:color w:val="000000" w:themeColor="text1"/>
                      <w:sz w:val="21"/>
                      <w:szCs w:val="24"/>
                      <w:u w:val="single"/>
                      <w14:textFill>
                        <w14:solidFill>
                          <w14:schemeClr w14:val="tx1"/>
                        </w14:solidFill>
                      </w14:textFill>
                    </w:rPr>
                    <w:t>的主变压器</w:t>
                  </w:r>
                </w:p>
              </w:tc>
              <w:tc>
                <w:tcPr>
                  <w:tcW w:w="7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4"/>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u w:val="singl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59" w:hRule="atLeast"/>
                <w:jc w:val="center"/>
              </w:trPr>
              <w:tc>
                <w:tcPr>
                  <w:tcW w:w="40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72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u w:val="single"/>
                      <w14:textFill>
                        <w14:solidFill>
                          <w14:schemeClr w14:val="tx1"/>
                        </w14:solidFill>
                      </w14:textFill>
                    </w:rPr>
                    <w:t>配电装</w:t>
                  </w:r>
                  <w:r>
                    <w:rPr>
                      <w:rFonts w:hint="default" w:ascii="Times New Roman" w:hAnsi="Times New Roman" w:eastAsia="宋体" w:cs="Times New Roman"/>
                      <w:color w:val="000000" w:themeColor="text1"/>
                      <w:sz w:val="21"/>
                      <w:szCs w:val="24"/>
                      <w:u w:val="single"/>
                      <w:lang w:val="en-US" w:eastAsia="zh-CN"/>
                      <w14:textFill>
                        <w14:solidFill>
                          <w14:schemeClr w14:val="tx1"/>
                        </w14:solidFill>
                      </w14:textFill>
                    </w:rPr>
                    <w:t>置</w:t>
                  </w:r>
                </w:p>
              </w:tc>
              <w:tc>
                <w:tcPr>
                  <w:tcW w:w="30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TimesNewRomanPSMT" w:cs="Times New Roman"/>
                      <w:color w:val="000000" w:themeColor="text1"/>
                      <w:sz w:val="21"/>
                      <w:szCs w:val="24"/>
                      <w:u w:val="single"/>
                      <w14:textFill>
                        <w14:solidFill>
                          <w14:schemeClr w14:val="tx1"/>
                        </w14:solidFill>
                      </w14:textFill>
                    </w:rPr>
                    <w:t xml:space="preserve">110kV </w:t>
                  </w:r>
                  <w:r>
                    <w:rPr>
                      <w:rFonts w:hint="default" w:ascii="Times New Roman" w:hAnsi="Times New Roman" w:eastAsia="宋体" w:cs="Times New Roman"/>
                      <w:color w:val="000000" w:themeColor="text1"/>
                      <w:sz w:val="21"/>
                      <w:szCs w:val="24"/>
                      <w:u w:val="single"/>
                      <w14:textFill>
                        <w14:solidFill>
                          <w14:schemeClr w14:val="tx1"/>
                        </w14:solidFill>
                      </w14:textFill>
                    </w:rPr>
                    <w:t>户外</w:t>
                  </w:r>
                  <w:r>
                    <w:rPr>
                      <w:rFonts w:hint="default" w:ascii="Times New Roman" w:hAnsi="Times New Roman" w:eastAsia="TimesNewRomanPSMT" w:cs="Times New Roman"/>
                      <w:color w:val="000000" w:themeColor="text1"/>
                      <w:sz w:val="21"/>
                      <w:szCs w:val="24"/>
                      <w:u w:val="single"/>
                      <w14:textFill>
                        <w14:solidFill>
                          <w14:schemeClr w14:val="tx1"/>
                        </w14:solidFill>
                      </w14:textFill>
                    </w:rPr>
                    <w:t xml:space="preserve">GIS </w:t>
                  </w:r>
                  <w:r>
                    <w:rPr>
                      <w:rFonts w:hint="default" w:ascii="Times New Roman" w:hAnsi="Times New Roman" w:eastAsia="宋体" w:cs="Times New Roman"/>
                      <w:color w:val="000000" w:themeColor="text1"/>
                      <w:sz w:val="21"/>
                      <w:szCs w:val="24"/>
                      <w:u w:val="single"/>
                      <w:lang w:val="en-US" w:eastAsia="zh-CN"/>
                      <w14:textFill>
                        <w14:solidFill>
                          <w14:schemeClr w14:val="tx1"/>
                        </w14:solidFill>
                      </w14:textFill>
                    </w:rPr>
                    <w:t>构架</w:t>
                  </w:r>
                </w:p>
              </w:tc>
              <w:tc>
                <w:tcPr>
                  <w:tcW w:w="7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4"/>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u w:val="singl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27" w:hRule="atLeast"/>
                <w:jc w:val="center"/>
              </w:trPr>
              <w:tc>
                <w:tcPr>
                  <w:tcW w:w="401"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辅助工程</w:t>
                  </w:r>
                </w:p>
              </w:tc>
              <w:tc>
                <w:tcPr>
                  <w:tcW w:w="72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综合楼</w:t>
                  </w:r>
                </w:p>
              </w:tc>
              <w:tc>
                <w:tcPr>
                  <w:tcW w:w="30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建设一栋</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综合楼</w:t>
                  </w: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综合楼</w:t>
                  </w: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为地上两层框架结构，</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综合楼</w:t>
                  </w: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占地面积595m</w:t>
                  </w:r>
                  <w:r>
                    <w:rPr>
                      <w:rFonts w:hint="default" w:ascii="Times New Roman" w:hAnsi="Times New Roman" w:eastAsia="宋体" w:cs="Times New Roman"/>
                      <w:color w:val="000000" w:themeColor="text1"/>
                      <w:sz w:val="21"/>
                      <w:szCs w:val="21"/>
                      <w:u w:val="singl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，建筑面积为1225m</w:t>
                  </w:r>
                  <w:r>
                    <w:rPr>
                      <w:rFonts w:hint="default" w:ascii="Times New Roman" w:hAnsi="Times New Roman" w:eastAsia="宋体" w:cs="Times New Roman"/>
                      <w:color w:val="000000" w:themeColor="text1"/>
                      <w:sz w:val="21"/>
                      <w:szCs w:val="21"/>
                      <w:u w:val="singl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，建筑高度为7.80m(含室内外高差)。一层层高为3.9m，布置有办公室、接待室、门厅、餐厅、备餐间、卫生间、楼梯间等；二层层高为3.6m，布置有值班休息室、会议室、活动室、阅览室、卫生间、楼梯间等。</w:t>
                  </w:r>
                </w:p>
              </w:tc>
              <w:tc>
                <w:tcPr>
                  <w:tcW w:w="7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u w:val="single"/>
                      <w:lang w:val="en-US" w:eastAsia="zh-CN"/>
                      <w14:textFill>
                        <w14:solidFill>
                          <w14:schemeClr w14:val="tx1"/>
                        </w14:solidFill>
                      </w14:textFill>
                    </w:rPr>
                    <w:t>邵阳县郦家坪光伏发电项目运营期</w:t>
                  </w:r>
                  <w:r>
                    <w:rPr>
                      <w:rFonts w:hint="default" w:ascii="Times New Roman" w:hAnsi="Times New Roman" w:cs="Times New Roman"/>
                      <w:color w:val="000000" w:themeColor="text1"/>
                      <w:spacing w:val="-6"/>
                      <w:sz w:val="21"/>
                      <w:szCs w:val="21"/>
                      <w:u w:val="single"/>
                      <w:lang w:val="en-US" w:eastAsia="zh-CN"/>
                      <w14:textFill>
                        <w14:solidFill>
                          <w14:schemeClr w14:val="tx1"/>
                        </w14:solidFill>
                      </w14:textFill>
                    </w:rPr>
                    <w:t>员工</w:t>
                  </w:r>
                  <w:r>
                    <w:rPr>
                      <w:rFonts w:hint="default" w:ascii="Times New Roman" w:hAnsi="Times New Roman" w:eastAsia="宋体" w:cs="Times New Roman"/>
                      <w:color w:val="000000" w:themeColor="text1"/>
                      <w:spacing w:val="-6"/>
                      <w:sz w:val="21"/>
                      <w:szCs w:val="21"/>
                      <w:u w:val="single"/>
                      <w:lang w:val="en-US" w:eastAsia="zh-CN"/>
                      <w14:textFill>
                        <w14:solidFill>
                          <w14:schemeClr w14:val="tx1"/>
                        </w14:solidFill>
                      </w14:textFill>
                    </w:rPr>
                    <w:t>办公生活依托升压站</w:t>
                  </w:r>
                  <w:r>
                    <w:rPr>
                      <w:rFonts w:hint="default" w:ascii="Times New Roman" w:hAnsi="Times New Roman" w:cs="Times New Roman"/>
                      <w:color w:val="000000" w:themeColor="text1"/>
                      <w:spacing w:val="-6"/>
                      <w:sz w:val="21"/>
                      <w:szCs w:val="21"/>
                      <w:u w:val="single"/>
                      <w:lang w:val="en-US" w:eastAsia="zh-CN"/>
                      <w14:textFill>
                        <w14:solidFill>
                          <w14:schemeClr w14:val="tx1"/>
                        </w14:solidFill>
                      </w14:textFill>
                    </w:rPr>
                    <w:t>综合楼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27" w:hRule="atLeast"/>
                <w:jc w:val="center"/>
              </w:trPr>
              <w:tc>
                <w:tcPr>
                  <w:tcW w:w="40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72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附属用房</w:t>
                  </w:r>
                </w:p>
              </w:tc>
              <w:tc>
                <w:tcPr>
                  <w:tcW w:w="30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建设一</w:t>
                  </w: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栋</w:t>
                  </w:r>
                  <w:r>
                    <w:rPr>
                      <w:rFonts w:hint="default" w:ascii="Times New Roman" w:hAnsi="Times New Roman" w:eastAsia="宋体" w:cs="Times New Roman"/>
                      <w:color w:val="000000" w:themeColor="text1"/>
                      <w:sz w:val="21"/>
                      <w:szCs w:val="21"/>
                      <w:u w:val="single"/>
                      <w14:textFill>
                        <w14:solidFill>
                          <w14:schemeClr w14:val="tx1"/>
                        </w14:solidFill>
                      </w14:textFill>
                    </w:rPr>
                    <w:t>附属用房，</w:t>
                  </w: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为地上一层框架结构，地下部分为消防水池</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。附属用房占地面积200m</w:t>
                  </w:r>
                  <w:r>
                    <w:rPr>
                      <w:rFonts w:hint="default" w:ascii="Times New Roman" w:hAnsi="Times New Roman" w:cs="Times New Roman"/>
                      <w:color w:val="000000" w:themeColor="text1"/>
                      <w:sz w:val="21"/>
                      <w:szCs w:val="21"/>
                      <w:u w:val="singl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，建筑高度为6.00m(室外地坪至屋面)，其中备品备件库高度为4.50m。总建筑面积为275m</w:t>
                  </w:r>
                  <w:r>
                    <w:rPr>
                      <w:rFonts w:hint="default" w:ascii="Times New Roman" w:hAnsi="Times New Roman" w:cs="Times New Roman"/>
                      <w:color w:val="000000" w:themeColor="text1"/>
                      <w:sz w:val="21"/>
                      <w:szCs w:val="21"/>
                      <w:u w:val="singl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，其中地上建筑面积为200m</w:t>
                  </w:r>
                  <w:r>
                    <w:rPr>
                      <w:rFonts w:hint="default" w:ascii="Times New Roman" w:hAnsi="Times New Roman" w:cs="Times New Roman"/>
                      <w:color w:val="000000" w:themeColor="text1"/>
                      <w:sz w:val="21"/>
                      <w:szCs w:val="21"/>
                      <w:u w:val="singl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，地下消防水池面积为75m</w:t>
                  </w:r>
                  <w:r>
                    <w:rPr>
                      <w:rFonts w:hint="default" w:ascii="Times New Roman" w:hAnsi="Times New Roman" w:cs="Times New Roman"/>
                      <w:color w:val="000000" w:themeColor="text1"/>
                      <w:sz w:val="21"/>
                      <w:szCs w:val="21"/>
                      <w:u w:val="singl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w:t>
                  </w:r>
                </w:p>
              </w:tc>
              <w:tc>
                <w:tcPr>
                  <w:tcW w:w="7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6"/>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u w:val="single"/>
                      <w:lang w:val="en-US" w:eastAsia="zh-CN"/>
                      <w14:textFill>
                        <w14:solidFill>
                          <w14:schemeClr w14:val="tx1"/>
                        </w14:solidFill>
                      </w14:textFill>
                    </w:rPr>
                    <w:t>邵阳县郦家坪光伏发电项目用水、备用电源依托升压站水泵房及备用品库。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3" w:hRule="atLeast"/>
                <w:jc w:val="center"/>
              </w:trPr>
              <w:tc>
                <w:tcPr>
                  <w:tcW w:w="40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72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配套设施</w:t>
                  </w:r>
                </w:p>
              </w:tc>
              <w:tc>
                <w:tcPr>
                  <w:tcW w:w="30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电气一次、二次联合预制舱、SVG支路、FC支路、事故油池、备用变、站用兼接地变、独立避雷针</w:t>
                  </w:r>
                </w:p>
              </w:tc>
              <w:tc>
                <w:tcPr>
                  <w:tcW w:w="7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6"/>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u w:val="singl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3" w:hRule="atLeast"/>
                <w:jc w:val="center"/>
              </w:trPr>
              <w:tc>
                <w:tcPr>
                  <w:tcW w:w="40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72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围墙</w:t>
                  </w:r>
                </w:p>
              </w:tc>
              <w:tc>
                <w:tcPr>
                  <w:tcW w:w="30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于</w:t>
                  </w:r>
                  <w:r>
                    <w:rPr>
                      <w:rFonts w:hint="default" w:ascii="Times New Roman" w:hAnsi="Times New Roman" w:eastAsia="宋体" w:cs="Times New Roman"/>
                      <w:color w:val="000000" w:themeColor="text1"/>
                      <w:sz w:val="21"/>
                      <w:szCs w:val="21"/>
                      <w:u w:val="single"/>
                      <w14:textFill>
                        <w14:solidFill>
                          <w14:schemeClr w14:val="tx1"/>
                        </w14:solidFill>
                      </w14:textFill>
                    </w:rPr>
                    <w:t>光伏发电场四周设置</w:t>
                  </w: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升压站四周设置2.3m高的混凝土砌块围墙，长</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360</w:t>
                  </w: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m。</w:t>
                  </w:r>
                </w:p>
              </w:tc>
              <w:tc>
                <w:tcPr>
                  <w:tcW w:w="7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6"/>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u w:val="singl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0" w:hRule="atLeast"/>
                <w:jc w:val="center"/>
              </w:trPr>
              <w:tc>
                <w:tcPr>
                  <w:tcW w:w="401"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公用工程</w:t>
                  </w:r>
                </w:p>
              </w:tc>
              <w:tc>
                <w:tcPr>
                  <w:tcW w:w="72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给水工程</w:t>
                  </w:r>
                </w:p>
              </w:tc>
              <w:tc>
                <w:tcPr>
                  <w:tcW w:w="308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singl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shd w:val="clear" w:color="auto" w:fill="auto"/>
                      <w:lang w:val="en-US" w:eastAsia="zh-CN" w:bidi="ar-SA"/>
                      <w14:textFill>
                        <w14:solidFill>
                          <w14:schemeClr w14:val="tx1"/>
                        </w14:solidFill>
                      </w14:textFill>
                    </w:rPr>
                    <w:t>在升压站区</w:t>
                  </w:r>
                  <w:r>
                    <w:rPr>
                      <w:rFonts w:hint="default" w:ascii="Times New Roman" w:hAnsi="Times New Roman" w:eastAsia="宋体" w:cs="Times New Roman"/>
                      <w:color w:val="000000" w:themeColor="text1"/>
                      <w:sz w:val="21"/>
                      <w:szCs w:val="21"/>
                      <w:highlight w:val="none"/>
                      <w:u w:val="single"/>
                      <w:shd w:val="clear" w:color="auto" w:fill="auto"/>
                      <w:lang w:val="en-US" w:eastAsia="zh-CN"/>
                      <w14:textFill>
                        <w14:solidFill>
                          <w14:schemeClr w14:val="tx1"/>
                        </w14:solidFill>
                      </w14:textFill>
                    </w:rPr>
                    <w:t>打一眼深水井，</w:t>
                  </w:r>
                  <w:r>
                    <w:rPr>
                      <w:rFonts w:hint="default" w:ascii="Times New Roman" w:hAnsi="Times New Roman" w:eastAsia="宋体" w:cs="Times New Roman"/>
                      <w:color w:val="000000" w:themeColor="text1"/>
                      <w:sz w:val="21"/>
                      <w:szCs w:val="21"/>
                      <w:highlight w:val="none"/>
                      <w:u w:val="single"/>
                      <w:shd w:val="clear" w:color="auto" w:fill="auto"/>
                      <w14:textFill>
                        <w14:solidFill>
                          <w14:schemeClr w14:val="tx1"/>
                        </w14:solidFill>
                      </w14:textFill>
                    </w:rPr>
                    <w:t>主要用于日常生活用水和生产用水</w:t>
                  </w:r>
                  <w:r>
                    <w:rPr>
                      <w:rFonts w:hint="default" w:ascii="Times New Roman" w:hAnsi="Times New Roman" w:eastAsia="宋体" w:cs="Times New Roman"/>
                      <w:color w:val="000000" w:themeColor="text1"/>
                      <w:sz w:val="21"/>
                      <w:szCs w:val="21"/>
                      <w:highlight w:val="none"/>
                      <w:u w:val="single"/>
                      <w:shd w:val="clear" w:color="auto" w:fill="auto"/>
                      <w:lang w:val="en-US" w:eastAsia="zh-CN"/>
                      <w14:textFill>
                        <w14:solidFill>
                          <w14:schemeClr w14:val="tx1"/>
                        </w14:solidFill>
                      </w14:textFill>
                    </w:rPr>
                    <w:t>。</w:t>
                  </w:r>
                </w:p>
              </w:tc>
              <w:tc>
                <w:tcPr>
                  <w:tcW w:w="784"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6"/>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u w:val="single"/>
                      <w:lang w:val="en-US" w:eastAsia="zh-CN"/>
                      <w14:textFill>
                        <w14:solidFill>
                          <w14:schemeClr w14:val="tx1"/>
                        </w14:solidFill>
                      </w14:textFill>
                    </w:rPr>
                    <w:t>邵阳县郦家坪光伏发电项目运营期劳动定员及其生活供水、排水设施、备用电源依托于升压站公用工程。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3" w:hRule="atLeast"/>
                <w:jc w:val="center"/>
              </w:trPr>
              <w:tc>
                <w:tcPr>
                  <w:tcW w:w="40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72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排水工程</w:t>
                  </w:r>
                </w:p>
              </w:tc>
              <w:tc>
                <w:tcPr>
                  <w:tcW w:w="30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single"/>
                      <w14:textFill>
                        <w14:solidFill>
                          <w14:schemeClr w14:val="tx1"/>
                        </w14:solidFill>
                      </w14:textFill>
                    </w:rPr>
                    <w:t>本工程排水系统采用雨、污水分流制，雨水单独排放</w:t>
                  </w:r>
                  <w:r>
                    <w:rPr>
                      <w:rFonts w:hint="default" w:ascii="Times New Roman" w:hAnsi="Times New Roman" w:cs="Times New Roman"/>
                      <w:color w:val="000000" w:themeColor="text1"/>
                      <w:kern w:val="0"/>
                      <w:sz w:val="21"/>
                      <w:szCs w:val="21"/>
                      <w:highlight w:val="none"/>
                      <w:u w:val="singl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u w:val="single"/>
                      <w:shd w:val="clear" w:color="auto" w:fill="auto"/>
                      <w:lang w:val="en-US" w:eastAsia="zh-CN" w:bidi="ar-SA"/>
                      <w14:textFill>
                        <w14:solidFill>
                          <w14:schemeClr w14:val="tx1"/>
                        </w14:solidFill>
                      </w14:textFill>
                    </w:rPr>
                    <w:t>生活污水</w:t>
                  </w:r>
                  <w:r>
                    <w:rPr>
                      <w:rFonts w:hint="default" w:ascii="Times New Roman" w:hAnsi="Times New Roman" w:cs="Times New Roman"/>
                      <w:color w:val="000000" w:themeColor="text1"/>
                      <w:kern w:val="2"/>
                      <w:sz w:val="21"/>
                      <w:szCs w:val="21"/>
                      <w:u w:val="single"/>
                      <w:shd w:val="clear" w:color="auto" w:fill="auto"/>
                      <w:lang w:val="en-US" w:eastAsia="zh-CN" w:bidi="ar-SA"/>
                      <w14:textFill>
                        <w14:solidFill>
                          <w14:schemeClr w14:val="tx1"/>
                        </w14:solidFill>
                      </w14:textFill>
                    </w:rPr>
                    <w:t>经一体化污水处理设施处理后用于站内绿化</w:t>
                  </w:r>
                  <w:r>
                    <w:rPr>
                      <w:rFonts w:hint="default" w:ascii="Times New Roman" w:hAnsi="Times New Roman" w:eastAsia="宋体" w:cs="Times New Roman"/>
                      <w:color w:val="000000" w:themeColor="text1"/>
                      <w:kern w:val="2"/>
                      <w:sz w:val="21"/>
                      <w:szCs w:val="21"/>
                      <w:u w:val="single"/>
                      <w:shd w:val="clear" w:color="auto" w:fill="auto"/>
                      <w:lang w:val="en-US" w:eastAsia="zh-CN" w:bidi="ar-SA"/>
                      <w14:textFill>
                        <w14:solidFill>
                          <w14:schemeClr w14:val="tx1"/>
                        </w14:solidFill>
                      </w14:textFill>
                    </w:rPr>
                    <w:t>，不外排。</w:t>
                  </w:r>
                </w:p>
              </w:tc>
              <w:tc>
                <w:tcPr>
                  <w:tcW w:w="784"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u w:val="singl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3" w:hRule="atLeast"/>
                <w:jc w:val="center"/>
              </w:trPr>
              <w:tc>
                <w:tcPr>
                  <w:tcW w:w="40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72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供电工程</w:t>
                  </w:r>
                </w:p>
              </w:tc>
              <w:tc>
                <w:tcPr>
                  <w:tcW w:w="30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kern w:val="2"/>
                      <w:sz w:val="21"/>
                      <w:szCs w:val="21"/>
                      <w:u w:val="single"/>
                      <w:shd w:val="clear" w:color="auto" w:fill="auto"/>
                      <w:lang w:val="en-US" w:eastAsia="zh-CN" w:bidi="ar-SA"/>
                      <w14:textFill>
                        <w14:solidFill>
                          <w14:schemeClr w14:val="tx1"/>
                        </w14:solidFill>
                      </w14:textFill>
                    </w:rPr>
                    <w:t>升压站内装设一台35kV站用变压器，接于35kV母线上，供应营运期生产生活用电。</w:t>
                  </w:r>
                </w:p>
              </w:tc>
              <w:tc>
                <w:tcPr>
                  <w:tcW w:w="784"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u w:val="single"/>
                      <w:shd w:val="clear" w:color="auto" w:fill="auto"/>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2" w:hRule="atLeast"/>
                <w:jc w:val="center"/>
              </w:trPr>
              <w:tc>
                <w:tcPr>
                  <w:tcW w:w="401"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环保</w:t>
                  </w:r>
                  <w:r>
                    <w:rPr>
                      <w:rFonts w:hint="default" w:ascii="Times New Roman" w:hAnsi="Times New Roman" w:eastAsia="宋体" w:cs="Times New Roman"/>
                      <w:color w:val="000000" w:themeColor="text1"/>
                      <w:sz w:val="21"/>
                      <w:szCs w:val="21"/>
                      <w:u w:val="single"/>
                      <w14:textFill>
                        <w14:solidFill>
                          <w14:schemeClr w14:val="tx1"/>
                        </w14:solidFill>
                      </w14:textFill>
                    </w:rPr>
                    <w:t>工程</w:t>
                  </w:r>
                </w:p>
              </w:tc>
              <w:tc>
                <w:tcPr>
                  <w:tcW w:w="72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shd w:val="clear" w:color="auto" w:fill="auto"/>
                      <w:lang w:eastAsia="zh-CN"/>
                      <w14:textFill>
                        <w14:solidFill>
                          <w14:schemeClr w14:val="tx1"/>
                        </w14:solidFill>
                      </w14:textFill>
                    </w:rPr>
                    <w:t>废水处理措施</w:t>
                  </w:r>
                </w:p>
              </w:tc>
              <w:tc>
                <w:tcPr>
                  <w:tcW w:w="308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kern w:val="2"/>
                      <w:sz w:val="21"/>
                      <w:szCs w:val="21"/>
                      <w:u w:val="single"/>
                      <w:shd w:val="clear" w:color="auto" w:fill="auto"/>
                      <w:lang w:val="en-US" w:eastAsia="zh-CN" w:bidi="ar-SA"/>
                      <w14:textFill>
                        <w14:solidFill>
                          <w14:schemeClr w14:val="tx1"/>
                        </w14:solidFill>
                      </w14:textFill>
                    </w:rPr>
                    <w:t>生活污水</w:t>
                  </w:r>
                  <w:r>
                    <w:rPr>
                      <w:rFonts w:hint="default" w:ascii="Times New Roman" w:hAnsi="Times New Roman" w:cs="Times New Roman"/>
                      <w:color w:val="000000" w:themeColor="text1"/>
                      <w:kern w:val="2"/>
                      <w:sz w:val="21"/>
                      <w:szCs w:val="21"/>
                      <w:u w:val="single"/>
                      <w:shd w:val="clear" w:color="auto" w:fill="auto"/>
                      <w:lang w:val="en-US" w:eastAsia="zh-CN" w:bidi="ar-SA"/>
                      <w14:textFill>
                        <w14:solidFill>
                          <w14:schemeClr w14:val="tx1"/>
                        </w14:solidFill>
                      </w14:textFill>
                    </w:rPr>
                    <w:t>经一体化污水处理设施处理后用于站内绿化</w:t>
                  </w:r>
                  <w:r>
                    <w:rPr>
                      <w:rFonts w:hint="default" w:ascii="Times New Roman" w:hAnsi="Times New Roman" w:eastAsia="宋体" w:cs="Times New Roman"/>
                      <w:color w:val="000000" w:themeColor="text1"/>
                      <w:kern w:val="2"/>
                      <w:sz w:val="21"/>
                      <w:szCs w:val="21"/>
                      <w:u w:val="single"/>
                      <w:shd w:val="clear" w:color="auto" w:fill="auto"/>
                      <w:lang w:val="en-US" w:eastAsia="zh-CN" w:bidi="ar-SA"/>
                      <w14:textFill>
                        <w14:solidFill>
                          <w14:schemeClr w14:val="tx1"/>
                        </w14:solidFill>
                      </w14:textFill>
                    </w:rPr>
                    <w:t>不外排</w:t>
                  </w:r>
                  <w:r>
                    <w:rPr>
                      <w:rFonts w:hint="eastAsia" w:cs="Times New Roman"/>
                      <w:color w:val="000000" w:themeColor="text1"/>
                      <w:kern w:val="2"/>
                      <w:sz w:val="21"/>
                      <w:szCs w:val="21"/>
                      <w:u w:val="single"/>
                      <w:shd w:val="clear" w:color="auto" w:fill="auto"/>
                      <w:lang w:val="en-US" w:eastAsia="zh-CN" w:bidi="ar-SA"/>
                      <w14:textFill>
                        <w14:solidFill>
                          <w14:schemeClr w14:val="tx1"/>
                        </w14:solidFill>
                      </w14:textFill>
                    </w:rPr>
                    <w:t>，</w:t>
                  </w:r>
                  <w:r>
                    <w:rPr>
                      <w:rFonts w:hint="eastAsia" w:cs="Times New Roman"/>
                      <w:color w:val="000000" w:themeColor="text1"/>
                      <w:kern w:val="2"/>
                      <w:sz w:val="21"/>
                      <w:szCs w:val="21"/>
                      <w:u w:val="single"/>
                      <w:shd w:val="clear" w:color="auto" w:fill="auto"/>
                      <w:lang w:val="en-US" w:eastAsia="zh-CN" w:bidi="ar-SA"/>
                      <w14:textFill>
                        <w14:solidFill>
                          <w14:schemeClr w14:val="tx1"/>
                        </w14:solidFill>
                      </w14:textFill>
                    </w:rPr>
                    <w:t>污水处理设施处理规模为1.0 t/d</w:t>
                  </w:r>
                  <w:r>
                    <w:rPr>
                      <w:rFonts w:hint="default" w:ascii="Times New Roman" w:hAnsi="Times New Roman" w:eastAsia="宋体" w:cs="Times New Roman"/>
                      <w:color w:val="000000" w:themeColor="text1"/>
                      <w:kern w:val="2"/>
                      <w:sz w:val="21"/>
                      <w:szCs w:val="21"/>
                      <w:u w:val="single"/>
                      <w:shd w:val="clear" w:color="auto" w:fill="auto"/>
                      <w:lang w:val="en-US" w:eastAsia="zh-CN" w:bidi="ar-SA"/>
                      <w14:textFill>
                        <w14:solidFill>
                          <w14:schemeClr w14:val="tx1"/>
                        </w14:solidFill>
                      </w14:textFill>
                    </w:rPr>
                    <w:t>。</w:t>
                  </w:r>
                </w:p>
              </w:tc>
              <w:tc>
                <w:tcPr>
                  <w:tcW w:w="784"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single"/>
                      <w:shd w:val="clear" w:color="auto" w:fill="auto"/>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u w:val="single"/>
                      <w:shd w:val="clear" w:color="auto" w:fill="auto"/>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83" w:hRule="atLeast"/>
                <w:jc w:val="center"/>
              </w:trPr>
              <w:tc>
                <w:tcPr>
                  <w:tcW w:w="40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72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shd w:val="clear" w:color="auto" w:fill="auto"/>
                      <w:lang w:eastAsia="zh-CN"/>
                      <w14:textFill>
                        <w14:solidFill>
                          <w14:schemeClr w14:val="tx1"/>
                        </w14:solidFill>
                      </w14:textFill>
                    </w:rPr>
                    <w:t>废气处理措施</w:t>
                  </w:r>
                </w:p>
              </w:tc>
              <w:tc>
                <w:tcPr>
                  <w:tcW w:w="308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single"/>
                      <w14:textFill>
                        <w14:solidFill>
                          <w14:schemeClr w14:val="tx1"/>
                        </w14:solidFill>
                      </w14:textFill>
                    </w:rPr>
                  </w:pPr>
                  <w:r>
                    <w:rPr>
                      <w:rFonts w:hint="default" w:ascii="Times New Roman" w:hAnsi="Times New Roman" w:eastAsia="宋体" w:cs="Times New Roman"/>
                      <w:color w:val="000000" w:themeColor="text1"/>
                      <w:kern w:val="2"/>
                      <w:sz w:val="21"/>
                      <w:szCs w:val="21"/>
                      <w:u w:val="single"/>
                      <w:shd w:val="clear" w:color="auto" w:fill="auto"/>
                      <w:lang w:val="en-US" w:eastAsia="zh-CN" w:bidi="ar-SA"/>
                      <w14:textFill>
                        <w14:solidFill>
                          <w14:schemeClr w14:val="tx1"/>
                        </w14:solidFill>
                      </w14:textFill>
                    </w:rPr>
                    <w:t>食堂油烟经</w:t>
                  </w:r>
                  <w:r>
                    <w:rPr>
                      <w:rFonts w:hint="default" w:ascii="Times New Roman" w:hAnsi="Times New Roman" w:cs="Times New Roman"/>
                      <w:color w:val="000000" w:themeColor="text1"/>
                      <w:kern w:val="2"/>
                      <w:sz w:val="21"/>
                      <w:szCs w:val="21"/>
                      <w:u w:val="single"/>
                      <w:shd w:val="clear" w:color="auto" w:fill="auto"/>
                      <w:lang w:val="en-US" w:eastAsia="zh-CN" w:bidi="ar-SA"/>
                      <w14:textFill>
                        <w14:solidFill>
                          <w14:schemeClr w14:val="tx1"/>
                        </w14:solidFill>
                      </w14:textFill>
                    </w:rPr>
                    <w:t>油烟净化设备</w:t>
                  </w:r>
                  <w:r>
                    <w:rPr>
                      <w:rFonts w:hint="default" w:ascii="Times New Roman" w:hAnsi="Times New Roman" w:eastAsia="宋体" w:cs="Times New Roman"/>
                      <w:color w:val="000000" w:themeColor="text1"/>
                      <w:kern w:val="2"/>
                      <w:sz w:val="21"/>
                      <w:szCs w:val="21"/>
                      <w:u w:val="single"/>
                      <w:shd w:val="clear" w:color="auto" w:fill="auto"/>
                      <w:lang w:val="en-US" w:eastAsia="zh-CN" w:bidi="ar-SA"/>
                      <w14:textFill>
                        <w14:solidFill>
                          <w14:schemeClr w14:val="tx1"/>
                        </w14:solidFill>
                      </w14:textFill>
                    </w:rPr>
                    <w:t>处理后排放。</w:t>
                  </w:r>
                </w:p>
              </w:tc>
              <w:tc>
                <w:tcPr>
                  <w:tcW w:w="784"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single"/>
                      <w:shd w:val="clear" w:color="auto" w:fill="auto"/>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u w:val="single"/>
                      <w:shd w:val="clear" w:color="auto" w:fill="auto"/>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46" w:hRule="atLeast"/>
                <w:jc w:val="center"/>
              </w:trPr>
              <w:tc>
                <w:tcPr>
                  <w:tcW w:w="40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72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shd w:val="clear" w:color="auto" w:fill="auto"/>
                      <w14:textFill>
                        <w14:solidFill>
                          <w14:schemeClr w14:val="tx1"/>
                        </w14:solidFill>
                      </w14:textFill>
                    </w:rPr>
                    <w:t>固体废物处理措施</w:t>
                  </w:r>
                </w:p>
              </w:tc>
              <w:tc>
                <w:tcPr>
                  <w:tcW w:w="308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singl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shd w:val="clear" w:color="auto" w:fill="auto"/>
                      <w:lang w:val="en-US" w:eastAsia="zh-CN" w:bidi="ar-SA"/>
                      <w14:textFill>
                        <w14:solidFill>
                          <w14:schemeClr w14:val="tx1"/>
                        </w14:solidFill>
                      </w14:textFill>
                    </w:rPr>
                    <w:t>①</w:t>
                  </w:r>
                  <w:r>
                    <w:rPr>
                      <w:rFonts w:hint="default" w:ascii="Times New Roman" w:hAnsi="Times New Roman" w:cs="Times New Roman"/>
                      <w:color w:val="000000" w:themeColor="text1"/>
                      <w:kern w:val="2"/>
                      <w:sz w:val="21"/>
                      <w:szCs w:val="21"/>
                      <w:u w:val="single"/>
                      <w:shd w:val="clear" w:color="auto" w:fill="auto"/>
                      <w:lang w:val="en-US" w:eastAsia="zh-CN" w:bidi="ar-SA"/>
                      <w14:textFill>
                        <w14:solidFill>
                          <w14:schemeClr w14:val="tx1"/>
                        </w14:solidFill>
                      </w14:textFill>
                    </w:rPr>
                    <w:t>升压站内设置1危废暂存间，位于升压站西北角，面积约30m</w:t>
                  </w:r>
                  <w:r>
                    <w:rPr>
                      <w:rFonts w:hint="default" w:ascii="Times New Roman" w:hAnsi="Times New Roman" w:cs="Times New Roman"/>
                      <w:color w:val="000000" w:themeColor="text1"/>
                      <w:kern w:val="2"/>
                      <w:sz w:val="21"/>
                      <w:szCs w:val="21"/>
                      <w:u w:val="single"/>
                      <w:shd w:val="clear" w:color="auto" w:fill="auto"/>
                      <w:vertAlign w:val="superscript"/>
                      <w:lang w:val="en-US" w:eastAsia="zh-CN" w:bidi="ar-SA"/>
                      <w14:textFill>
                        <w14:solidFill>
                          <w14:schemeClr w14:val="tx1"/>
                        </w14:solidFill>
                      </w14:textFill>
                    </w:rPr>
                    <w:t>2</w:t>
                  </w:r>
                  <w:r>
                    <w:rPr>
                      <w:rFonts w:hint="default" w:ascii="Times New Roman" w:hAnsi="Times New Roman" w:cs="Times New Roman"/>
                      <w:color w:val="000000" w:themeColor="text1"/>
                      <w:kern w:val="2"/>
                      <w:sz w:val="21"/>
                      <w:szCs w:val="21"/>
                      <w:u w:val="single"/>
                      <w:shd w:val="clear" w:color="auto" w:fill="auto"/>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u w:val="single"/>
                      <w:shd w:val="clear" w:color="auto" w:fill="auto"/>
                      <w:lang w:val="en-US" w:eastAsia="zh-CN" w:bidi="ar-SA"/>
                      <w14:textFill>
                        <w14:solidFill>
                          <w14:schemeClr w14:val="tx1"/>
                        </w14:solidFill>
                      </w14:textFill>
                    </w:rPr>
                    <w:t>废铅酸蓄电池油于危废暂存间暂存，交由有资质的单位处置；</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singl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shd w:val="clear" w:color="auto" w:fill="auto"/>
                      <w:lang w:val="en-US" w:eastAsia="zh-CN" w:bidi="ar-SA"/>
                      <w14:textFill>
                        <w14:solidFill>
                          <w14:schemeClr w14:val="tx1"/>
                        </w14:solidFill>
                      </w14:textFill>
                    </w:rPr>
                    <w:t>②废变压器油</w:t>
                  </w:r>
                  <w:r>
                    <w:rPr>
                      <w:rFonts w:hint="default" w:ascii="Times New Roman" w:hAnsi="Times New Roman" w:cs="Times New Roman"/>
                      <w:color w:val="000000" w:themeColor="text1"/>
                      <w:kern w:val="2"/>
                      <w:sz w:val="21"/>
                      <w:szCs w:val="21"/>
                      <w:u w:val="single"/>
                      <w:shd w:val="clear" w:color="auto" w:fill="auto"/>
                      <w:lang w:val="en-US" w:eastAsia="zh-CN" w:bidi="ar-SA"/>
                      <w14:textFill>
                        <w14:solidFill>
                          <w14:schemeClr w14:val="tx1"/>
                        </w14:solidFill>
                      </w14:textFill>
                    </w:rPr>
                    <w:t>由事故油池收集后</w:t>
                  </w:r>
                  <w:r>
                    <w:rPr>
                      <w:rFonts w:hint="default" w:ascii="Times New Roman" w:hAnsi="Times New Roman" w:eastAsia="宋体" w:cs="Times New Roman"/>
                      <w:color w:val="000000" w:themeColor="text1"/>
                      <w:kern w:val="2"/>
                      <w:sz w:val="21"/>
                      <w:szCs w:val="21"/>
                      <w:u w:val="single"/>
                      <w:shd w:val="clear" w:color="auto" w:fill="auto"/>
                      <w:lang w:val="en-US" w:eastAsia="zh-CN" w:bidi="ar-SA"/>
                      <w14:textFill>
                        <w14:solidFill>
                          <w14:schemeClr w14:val="tx1"/>
                        </w14:solidFill>
                      </w14:textFill>
                    </w:rPr>
                    <w:t>，交由有资质的单位处置；</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kern w:val="2"/>
                      <w:sz w:val="21"/>
                      <w:szCs w:val="21"/>
                      <w:u w:val="single"/>
                      <w:shd w:val="clear" w:color="auto" w:fill="auto"/>
                      <w:lang w:val="en-US" w:eastAsia="zh-CN" w:bidi="ar-SA"/>
                      <w14:textFill>
                        <w14:solidFill>
                          <w14:schemeClr w14:val="tx1"/>
                        </w14:solidFill>
                      </w14:textFill>
                    </w:rPr>
                    <w:t>③</w:t>
                  </w:r>
                  <w:r>
                    <w:rPr>
                      <w:rFonts w:hint="default" w:ascii="Times New Roman" w:hAnsi="Times New Roman" w:eastAsia="宋体" w:cs="Times New Roman"/>
                      <w:color w:val="000000" w:themeColor="text1"/>
                      <w:szCs w:val="21"/>
                      <w:u w:val="single"/>
                      <w:lang w:eastAsia="zh-CN"/>
                      <w14:textFill>
                        <w14:solidFill>
                          <w14:schemeClr w14:val="tx1"/>
                        </w14:solidFill>
                      </w14:textFill>
                    </w:rPr>
                    <w:t>生活垃圾集中收集定期清运至周边村庄，依托当地生活垃圾收集处理设施处理。</w:t>
                  </w:r>
                </w:p>
              </w:tc>
              <w:tc>
                <w:tcPr>
                  <w:tcW w:w="784"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single"/>
                      <w:shd w:val="clear" w:color="auto" w:fill="auto"/>
                      <w:lang w:val="en-US" w:eastAsia="zh-CN" w:bidi="ar-SA"/>
                      <w14:textFill>
                        <w14:solidFill>
                          <w14:schemeClr w14:val="tx1"/>
                        </w14:solidFill>
                      </w14:textFill>
                    </w:rPr>
                  </w:pPr>
                  <w:r>
                    <w:rPr>
                      <w:rFonts w:hint="eastAsia" w:cs="Times New Roman"/>
                      <w:color w:val="000000" w:themeColor="text1"/>
                      <w:spacing w:val="-6"/>
                      <w:sz w:val="21"/>
                      <w:szCs w:val="21"/>
                      <w:u w:val="singl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40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72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shd w:val="clear" w:color="auto" w:fill="auto"/>
                      <w:lang w:eastAsia="zh-CN"/>
                      <w14:textFill>
                        <w14:solidFill>
                          <w14:schemeClr w14:val="tx1"/>
                        </w14:solidFill>
                      </w14:textFill>
                    </w:rPr>
                    <w:t>噪声防治措施</w:t>
                  </w:r>
                </w:p>
              </w:tc>
              <w:tc>
                <w:tcPr>
                  <w:tcW w:w="308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shd w:val="clear" w:color="auto" w:fill="auto"/>
                      <w:lang w:val="en-US" w:eastAsia="zh-CN"/>
                      <w14:textFill>
                        <w14:solidFill>
                          <w14:schemeClr w14:val="tx1"/>
                        </w14:solidFill>
                      </w14:textFill>
                    </w:rPr>
                    <w:t>选用低噪声设备；</w:t>
                  </w:r>
                  <w:r>
                    <w:rPr>
                      <w:rFonts w:hint="default" w:ascii="Times New Roman" w:hAnsi="Times New Roman" w:eastAsia="宋体" w:cs="Times New Roman"/>
                      <w:color w:val="000000" w:themeColor="text1"/>
                      <w:sz w:val="21"/>
                      <w:szCs w:val="21"/>
                      <w:u w:val="single"/>
                      <w:shd w:val="clear" w:color="auto" w:fill="auto"/>
                      <w:lang w:eastAsia="zh-CN"/>
                      <w14:textFill>
                        <w14:solidFill>
                          <w14:schemeClr w14:val="tx1"/>
                        </w14:solidFill>
                      </w14:textFill>
                    </w:rPr>
                    <w:t>升压站四周建</w:t>
                  </w:r>
                  <w:r>
                    <w:rPr>
                      <w:rFonts w:hint="default" w:ascii="Times New Roman" w:hAnsi="Times New Roman" w:cs="Times New Roman"/>
                      <w:color w:val="000000" w:themeColor="text1"/>
                      <w:sz w:val="21"/>
                      <w:szCs w:val="21"/>
                      <w:u w:val="single"/>
                      <w:shd w:val="clear" w:color="auto" w:fill="auto"/>
                      <w:lang w:val="en-US" w:eastAsia="zh-CN"/>
                      <w14:textFill>
                        <w14:solidFill>
                          <w14:schemeClr w14:val="tx1"/>
                        </w14:solidFill>
                      </w14:textFill>
                    </w:rPr>
                    <w:t>2.3</w:t>
                  </w:r>
                  <w:r>
                    <w:rPr>
                      <w:rFonts w:hint="default" w:ascii="Times New Roman" w:hAnsi="Times New Roman" w:eastAsia="宋体" w:cs="Times New Roman"/>
                      <w:color w:val="000000" w:themeColor="text1"/>
                      <w:sz w:val="21"/>
                      <w:szCs w:val="21"/>
                      <w:u w:val="single"/>
                      <w:shd w:val="clear" w:color="auto" w:fill="auto"/>
                      <w:lang w:val="en-US" w:eastAsia="zh-CN"/>
                      <w14:textFill>
                        <w14:solidFill>
                          <w14:schemeClr w14:val="tx1"/>
                        </w14:solidFill>
                      </w14:textFill>
                    </w:rPr>
                    <w:t>m高实体围墙，通过隔声、距离衰减，减少噪声对外环境影响</w:t>
                  </w:r>
                  <w:r>
                    <w:rPr>
                      <w:rFonts w:hint="default" w:ascii="Times New Roman" w:hAnsi="Times New Roman" w:eastAsia="宋体" w:cs="Times New Roman"/>
                      <w:color w:val="000000" w:themeColor="text1"/>
                      <w:sz w:val="21"/>
                      <w:szCs w:val="21"/>
                      <w:u w:val="single"/>
                      <w:shd w:val="clear" w:color="auto" w:fill="auto"/>
                      <w:lang w:eastAsia="zh-CN"/>
                      <w14:textFill>
                        <w14:solidFill>
                          <w14:schemeClr w14:val="tx1"/>
                        </w14:solidFill>
                      </w14:textFill>
                    </w:rPr>
                    <w:t>。</w:t>
                  </w:r>
                </w:p>
              </w:tc>
              <w:tc>
                <w:tcPr>
                  <w:tcW w:w="784"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singl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u w:val="single"/>
                      <w:shd w:val="clear" w:color="auto" w:fill="auto"/>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40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72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u w:val="singl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shd w:val="clear" w:color="auto" w:fill="auto"/>
                      <w:lang w:eastAsia="zh-CN"/>
                      <w14:textFill>
                        <w14:solidFill>
                          <w14:schemeClr w14:val="tx1"/>
                        </w14:solidFill>
                      </w14:textFill>
                    </w:rPr>
                    <w:t>风险防范</w:t>
                  </w:r>
                </w:p>
              </w:tc>
              <w:tc>
                <w:tcPr>
                  <w:tcW w:w="3089" w:type="pct"/>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1"/>
                      <w:highlight w:val="none"/>
                      <w:u w:val="singl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4"/>
                      <w:highlight w:val="none"/>
                      <w:u w:val="single"/>
                      <w14:textFill>
                        <w14:solidFill>
                          <w14:schemeClr w14:val="tx1"/>
                        </w14:solidFill>
                      </w14:textFill>
                    </w:rPr>
                    <w:t>于升压站主变电器旁设置</w:t>
                  </w:r>
                  <w:r>
                    <w:rPr>
                      <w:rFonts w:hint="default" w:ascii="Times New Roman" w:hAnsi="Times New Roman" w:eastAsia="TimesNewRomanPSMT" w:cs="Times New Roman"/>
                      <w:color w:val="000000" w:themeColor="text1"/>
                      <w:sz w:val="21"/>
                      <w:szCs w:val="24"/>
                      <w:highlight w:val="none"/>
                      <w:u w:val="single"/>
                      <w14:textFill>
                        <w14:solidFill>
                          <w14:schemeClr w14:val="tx1"/>
                        </w14:solidFill>
                      </w14:textFill>
                    </w:rPr>
                    <w:t xml:space="preserve">1 </w:t>
                  </w:r>
                  <w:r>
                    <w:rPr>
                      <w:rFonts w:hint="default" w:ascii="Times New Roman" w:hAnsi="Times New Roman" w:eastAsia="宋体" w:cs="Times New Roman"/>
                      <w:color w:val="000000" w:themeColor="text1"/>
                      <w:sz w:val="21"/>
                      <w:szCs w:val="24"/>
                      <w:highlight w:val="none"/>
                      <w:u w:val="single"/>
                      <w14:textFill>
                        <w14:solidFill>
                          <w14:schemeClr w14:val="tx1"/>
                        </w14:solidFill>
                      </w14:textFill>
                    </w:rPr>
                    <w:t>个</w:t>
                  </w:r>
                  <w:r>
                    <w:rPr>
                      <w:rFonts w:hint="default" w:ascii="Times New Roman" w:hAnsi="Times New Roman" w:eastAsia="TimesNewRomanPSMT" w:cs="Times New Roman"/>
                      <w:color w:val="000000" w:themeColor="text1"/>
                      <w:sz w:val="21"/>
                      <w:szCs w:val="24"/>
                      <w:highlight w:val="none"/>
                      <w:u w:val="single"/>
                      <w14:textFill>
                        <w14:solidFill>
                          <w14:schemeClr w14:val="tx1"/>
                        </w14:solidFill>
                      </w14:textFill>
                    </w:rPr>
                    <w:t>50m</w:t>
                  </w:r>
                  <w:r>
                    <w:rPr>
                      <w:rFonts w:hint="default" w:ascii="Times New Roman" w:hAnsi="Times New Roman" w:eastAsia="TimesNewRomanPSMT" w:cs="Times New Roman"/>
                      <w:color w:val="000000" w:themeColor="text1"/>
                      <w:sz w:val="21"/>
                      <w:szCs w:val="44"/>
                      <w:highlight w:val="none"/>
                      <w:u w:val="single"/>
                      <w:vertAlign w:val="superscript"/>
                      <w14:textFill>
                        <w14:solidFill>
                          <w14:schemeClr w14:val="tx1"/>
                        </w14:solidFill>
                      </w14:textFill>
                    </w:rPr>
                    <w:t>3</w:t>
                  </w:r>
                  <w:r>
                    <w:rPr>
                      <w:rFonts w:hint="default" w:ascii="Times New Roman" w:hAnsi="Times New Roman" w:eastAsia="TimesNewRomanPSMT" w:cs="Times New Roman"/>
                      <w:color w:val="000000" w:themeColor="text1"/>
                      <w:sz w:val="14"/>
                      <w:szCs w:val="24"/>
                      <w:highlight w:val="none"/>
                      <w:u w:val="single"/>
                      <w14:textFill>
                        <w14:solidFill>
                          <w14:schemeClr w14:val="tx1"/>
                        </w14:solidFill>
                      </w14:textFill>
                    </w:rPr>
                    <w:t xml:space="preserve"> </w:t>
                  </w:r>
                  <w:r>
                    <w:rPr>
                      <w:rFonts w:hint="default" w:ascii="Times New Roman" w:hAnsi="Times New Roman" w:eastAsia="宋体" w:cs="Times New Roman"/>
                      <w:color w:val="000000" w:themeColor="text1"/>
                      <w:sz w:val="21"/>
                      <w:szCs w:val="24"/>
                      <w:highlight w:val="none"/>
                      <w:u w:val="single"/>
                      <w14:textFill>
                        <w14:solidFill>
                          <w14:schemeClr w14:val="tx1"/>
                        </w14:solidFill>
                      </w14:textFill>
                    </w:rPr>
                    <w:t>事故油池，用于收集主变电器事故状态时产生的矿物油</w:t>
                  </w:r>
                  <w:r>
                    <w:rPr>
                      <w:rFonts w:hint="default" w:ascii="Times New Roman" w:hAnsi="Times New Roman" w:cs="Times New Roman"/>
                      <w:color w:val="000000" w:themeColor="text1"/>
                      <w:sz w:val="21"/>
                      <w:szCs w:val="24"/>
                      <w:highlight w:val="none"/>
                      <w:u w:val="single"/>
                      <w:lang w:eastAsia="zh-CN"/>
                      <w14:textFill>
                        <w14:solidFill>
                          <w14:schemeClr w14:val="tx1"/>
                        </w14:solidFill>
                      </w14:textFill>
                    </w:rPr>
                    <w:t>，</w:t>
                  </w:r>
                  <w:r>
                    <w:rPr>
                      <w:rFonts w:hint="default" w:ascii="Times New Roman" w:hAnsi="Times New Roman" w:eastAsia="宋体" w:cs="Times New Roman"/>
                      <w:color w:val="000000" w:themeColor="text1"/>
                      <w:sz w:val="21"/>
                      <w:szCs w:val="24"/>
                      <w:highlight w:val="none"/>
                      <w:u w:val="single"/>
                      <w14:textFill>
                        <w14:solidFill>
                          <w14:schemeClr w14:val="tx1"/>
                        </w14:solidFill>
                      </w14:textFill>
                    </w:rPr>
                    <w:t>事故油池底部和四周设置防渗措施（等效黏土防渗层</w:t>
                  </w:r>
                  <w:r>
                    <w:rPr>
                      <w:rFonts w:hint="default" w:ascii="Times New Roman" w:hAnsi="Times New Roman" w:eastAsia="TimesNewRomanPSMT" w:cs="Times New Roman"/>
                      <w:color w:val="000000" w:themeColor="text1"/>
                      <w:sz w:val="21"/>
                      <w:szCs w:val="24"/>
                      <w:highlight w:val="none"/>
                      <w:u w:val="single"/>
                      <w14:textFill>
                        <w14:solidFill>
                          <w14:schemeClr w14:val="tx1"/>
                        </w14:solidFill>
                      </w14:textFill>
                    </w:rPr>
                    <w:t>Mb≥6.0m</w:t>
                  </w:r>
                  <w:r>
                    <w:rPr>
                      <w:rFonts w:hint="default" w:ascii="Times New Roman" w:hAnsi="Times New Roman" w:eastAsia="宋体" w:cs="Times New Roman"/>
                      <w:color w:val="000000" w:themeColor="text1"/>
                      <w:sz w:val="21"/>
                      <w:szCs w:val="24"/>
                      <w:highlight w:val="none"/>
                      <w:u w:val="single"/>
                      <w14:textFill>
                        <w14:solidFill>
                          <w14:schemeClr w14:val="tx1"/>
                        </w14:solidFill>
                      </w14:textFill>
                    </w:rPr>
                    <w:t>，</w:t>
                  </w:r>
                  <w:r>
                    <w:rPr>
                      <w:rFonts w:hint="default" w:ascii="Times New Roman" w:hAnsi="Times New Roman" w:eastAsia="TimesNewRomanPSMT" w:cs="Times New Roman"/>
                      <w:color w:val="000000" w:themeColor="text1"/>
                      <w:sz w:val="21"/>
                      <w:szCs w:val="24"/>
                      <w:highlight w:val="none"/>
                      <w:u w:val="single"/>
                      <w14:textFill>
                        <w14:solidFill>
                          <w14:schemeClr w14:val="tx1"/>
                        </w14:solidFill>
                      </w14:textFill>
                    </w:rPr>
                    <w:t>K≤1.0×10</w:t>
                  </w:r>
                  <w:r>
                    <w:rPr>
                      <w:rFonts w:hint="default" w:ascii="Times New Roman" w:hAnsi="Times New Roman" w:eastAsia="TimesNewRomanPSMT" w:cs="Times New Roman"/>
                      <w:color w:val="000000" w:themeColor="text1"/>
                      <w:sz w:val="21"/>
                      <w:szCs w:val="21"/>
                      <w:highlight w:val="none"/>
                      <w:u w:val="single"/>
                      <w:vertAlign w:val="superscript"/>
                      <w14:textFill>
                        <w14:solidFill>
                          <w14:schemeClr w14:val="tx1"/>
                        </w14:solidFill>
                      </w14:textFill>
                    </w:rPr>
                    <w:t>-7</w:t>
                  </w:r>
                  <w:r>
                    <w:rPr>
                      <w:rFonts w:hint="default" w:ascii="Times New Roman" w:hAnsi="Times New Roman" w:eastAsia="TimesNewRomanPSMT" w:cs="Times New Roman"/>
                      <w:color w:val="000000" w:themeColor="text1"/>
                      <w:sz w:val="21"/>
                      <w:szCs w:val="24"/>
                      <w:highlight w:val="none"/>
                      <w:u w:val="single"/>
                      <w14:textFill>
                        <w14:solidFill>
                          <w14:schemeClr w14:val="tx1"/>
                        </w14:solidFill>
                      </w14:textFill>
                    </w:rPr>
                    <w:t>cm/s</w:t>
                  </w:r>
                  <w:r>
                    <w:rPr>
                      <w:rFonts w:hint="default" w:ascii="Times New Roman" w:hAnsi="Times New Roman" w:eastAsia="宋体" w:cs="Times New Roman"/>
                      <w:color w:val="000000" w:themeColor="text1"/>
                      <w:sz w:val="21"/>
                      <w:szCs w:val="24"/>
                      <w:highlight w:val="none"/>
                      <w:u w:val="single"/>
                      <w14:textFill>
                        <w14:solidFill>
                          <w14:schemeClr w14:val="tx1"/>
                        </w14:solidFill>
                      </w14:textFill>
                    </w:rPr>
                    <w:t>）。</w:t>
                  </w:r>
                </w:p>
              </w:tc>
              <w:tc>
                <w:tcPr>
                  <w:tcW w:w="784" w:type="pct"/>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sz w:val="21"/>
                      <w:szCs w:val="24"/>
                      <w:highlight w:val="none"/>
                      <w:u w:val="single"/>
                      <w:lang w:val="en-US" w:eastAsia="zh-CN"/>
                      <w14:textFill>
                        <w14:solidFill>
                          <w14:schemeClr w14:val="tx1"/>
                        </w14:solidFill>
                      </w14:textFill>
                    </w:rPr>
                  </w:pPr>
                  <w:r>
                    <w:rPr>
                      <w:rFonts w:hint="default" w:ascii="Times New Roman" w:hAnsi="Times New Roman" w:cs="Times New Roman"/>
                      <w:color w:val="000000" w:themeColor="text1"/>
                      <w:sz w:val="21"/>
                      <w:szCs w:val="24"/>
                      <w:highlight w:val="none"/>
                      <w:u w:val="singl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401"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cs="Times New Roman"/>
                      <w:color w:val="000000" w:themeColor="text1"/>
                      <w:sz w:val="21"/>
                      <w:szCs w:val="21"/>
                      <w:u w:val="single"/>
                      <w:lang w:eastAsia="zh-CN"/>
                      <w14:textFill>
                        <w14:solidFill>
                          <w14:schemeClr w14:val="tx1"/>
                        </w14:solidFill>
                      </w14:textFill>
                    </w:rPr>
                    <w:t>依托工程</w:t>
                  </w:r>
                </w:p>
              </w:tc>
              <w:tc>
                <w:tcPr>
                  <w:tcW w:w="72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single"/>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shd w:val="clear" w:color="auto" w:fill="auto"/>
                      <w:lang w:eastAsia="zh-CN"/>
                      <w14:textFill>
                        <w14:solidFill>
                          <w14:schemeClr w14:val="tx1"/>
                        </w14:solidFill>
                      </w14:textFill>
                    </w:rPr>
                    <w:t>土建工程</w:t>
                  </w:r>
                </w:p>
              </w:tc>
              <w:tc>
                <w:tcPr>
                  <w:tcW w:w="3873" w:type="pct"/>
                  <w:gridSpan w:val="2"/>
                  <w:noWrap w:val="0"/>
                  <w:vAlign w:val="center"/>
                </w:tcPr>
                <w:p>
                  <w:pPr>
                    <w:keepNext w:val="0"/>
                    <w:keepLines w:val="0"/>
                    <w:suppressLineNumbers w:val="0"/>
                    <w:spacing w:before="0" w:beforeLines="0" w:beforeAutospacing="0" w:after="0" w:afterLines="0" w:afterAutospacing="0"/>
                    <w:ind w:left="0" w:right="0"/>
                    <w:jc w:val="left"/>
                    <w:rPr>
                      <w:rFonts w:hint="default" w:ascii="Times New Roman" w:hAnsi="Times New Roman" w:eastAsia="宋体" w:cs="Times New Roman"/>
                      <w:color w:val="000000" w:themeColor="text1"/>
                      <w:sz w:val="21"/>
                      <w:szCs w:val="24"/>
                      <w:highlight w:val="none"/>
                      <w:u w:val="single"/>
                      <w14:textFill>
                        <w14:solidFill>
                          <w14:schemeClr w14:val="tx1"/>
                        </w14:solidFill>
                      </w14:textFill>
                    </w:rPr>
                  </w:pPr>
                  <w:r>
                    <w:rPr>
                      <w:rFonts w:hint="default" w:ascii="Times New Roman" w:hAnsi="Times New Roman" w:eastAsia="宋体" w:cs="Times New Roman"/>
                      <w:color w:val="000000" w:themeColor="text1"/>
                      <w:sz w:val="21"/>
                      <w:szCs w:val="24"/>
                      <w:highlight w:val="none"/>
                      <w:u w:val="single"/>
                      <w14:textFill>
                        <w14:solidFill>
                          <w14:schemeClr w14:val="tx1"/>
                        </w14:solidFill>
                      </w14:textFill>
                    </w:rPr>
                    <w:t>本工程依托光伏场址项目土建工程内容（包括升压站主体工程、辅助工程、公用工程、环保工程的土建工程内容）。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40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72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single"/>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shd w:val="clear" w:color="auto" w:fill="auto"/>
                      <w:lang w:eastAsia="zh-CN"/>
                      <w14:textFill>
                        <w14:solidFill>
                          <w14:schemeClr w14:val="tx1"/>
                        </w14:solidFill>
                      </w14:textFill>
                    </w:rPr>
                    <w:t>弃渣场</w:t>
                  </w:r>
                </w:p>
              </w:tc>
              <w:tc>
                <w:tcPr>
                  <w:tcW w:w="3873" w:type="pct"/>
                  <w:gridSpan w:val="2"/>
                  <w:noWrap w:val="0"/>
                  <w:vAlign w:val="center"/>
                </w:tcPr>
                <w:p>
                  <w:pPr>
                    <w:keepNext w:val="0"/>
                    <w:keepLines w:val="0"/>
                    <w:suppressLineNumbers w:val="0"/>
                    <w:spacing w:before="0" w:beforeLines="0" w:beforeAutospacing="0" w:after="0" w:afterLines="0" w:afterAutospacing="0"/>
                    <w:ind w:left="0" w:right="0"/>
                    <w:jc w:val="left"/>
                    <w:rPr>
                      <w:rFonts w:hint="default" w:ascii="Times New Roman" w:hAnsi="Times New Roman" w:eastAsia="宋体" w:cs="Times New Roman"/>
                      <w:color w:val="000000" w:themeColor="text1"/>
                      <w:sz w:val="21"/>
                      <w:szCs w:val="24"/>
                      <w:highlight w:val="none"/>
                      <w:u w:val="single"/>
                      <w14:textFill>
                        <w14:solidFill>
                          <w14:schemeClr w14:val="tx1"/>
                        </w14:solidFill>
                      </w14:textFill>
                    </w:rPr>
                  </w:pPr>
                  <w:r>
                    <w:rPr>
                      <w:rFonts w:hint="default" w:ascii="Times New Roman" w:hAnsi="Times New Roman" w:eastAsia="宋体" w:cs="Times New Roman"/>
                      <w:color w:val="000000" w:themeColor="text1"/>
                      <w:sz w:val="21"/>
                      <w:szCs w:val="24"/>
                      <w:highlight w:val="none"/>
                      <w:u w:val="single"/>
                      <w14:textFill>
                        <w14:solidFill>
                          <w14:schemeClr w14:val="tx1"/>
                        </w14:solidFill>
                      </w14:textFill>
                    </w:rPr>
                    <w:t>本</w:t>
                  </w:r>
                  <w:r>
                    <w:rPr>
                      <w:rFonts w:hint="default" w:ascii="Times New Roman" w:hAnsi="Times New Roman" w:cs="Times New Roman"/>
                      <w:color w:val="000000" w:themeColor="text1"/>
                      <w:sz w:val="21"/>
                      <w:szCs w:val="24"/>
                      <w:highlight w:val="none"/>
                      <w:u w:val="single"/>
                      <w:lang w:eastAsia="zh-CN"/>
                      <w14:textFill>
                        <w14:solidFill>
                          <w14:schemeClr w14:val="tx1"/>
                        </w14:solidFill>
                      </w14:textFill>
                    </w:rPr>
                    <w:t>项目产生的多余的土石方用于光伏场区回填，不设</w:t>
                  </w:r>
                  <w:r>
                    <w:rPr>
                      <w:rFonts w:hint="default" w:ascii="Times New Roman" w:hAnsi="Times New Roman" w:eastAsia="宋体" w:cs="Times New Roman"/>
                      <w:color w:val="000000" w:themeColor="text1"/>
                      <w:sz w:val="21"/>
                      <w:szCs w:val="24"/>
                      <w:highlight w:val="none"/>
                      <w:u w:val="single"/>
                      <w14:textFill>
                        <w14:solidFill>
                          <w14:schemeClr w14:val="tx1"/>
                        </w14:solidFill>
                      </w14:textFill>
                    </w:rPr>
                    <w:t>弃渣场</w:t>
                  </w:r>
                </w:p>
              </w:tc>
            </w:tr>
          </w:tbl>
          <w:p>
            <w:pPr>
              <w:keepNext w:val="0"/>
              <w:keepLines w:val="0"/>
              <w:suppressLineNumbers w:val="0"/>
              <w:spacing w:before="120" w:beforeLines="50" w:beforeAutospacing="0" w:after="0" w:afterAutospacing="0" w:line="360" w:lineRule="auto"/>
              <w:ind w:left="0" w:right="0" w:firstLine="482" w:firstLineChars="200"/>
              <w:rPr>
                <w:rFonts w:hint="default" w:ascii="Times New Roman" w:hAnsi="Times New Roman" w:cs="Times New Roman"/>
                <w:b/>
                <w:color w:val="000000" w:themeColor="text1"/>
                <w:kern w:val="0"/>
                <w:sz w:val="24"/>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4</w:t>
            </w:r>
            <w:r>
              <w:rPr>
                <w:rFonts w:hint="default" w:ascii="Times New Roman" w:hAnsi="Times New Roman" w:cs="Times New Roman"/>
                <w:b/>
                <w:color w:val="000000" w:themeColor="text1"/>
                <w:sz w:val="24"/>
                <w14:textFill>
                  <w14:solidFill>
                    <w14:schemeClr w14:val="tx1"/>
                  </w14:solidFill>
                </w14:textFill>
              </w:rPr>
              <w:t>、</w:t>
            </w:r>
            <w:r>
              <w:rPr>
                <w:rFonts w:hint="default" w:ascii="Times New Roman" w:hAnsi="Times New Roman" w:cs="Times New Roman"/>
                <w:b/>
                <w:color w:val="000000" w:themeColor="text1"/>
                <w:kern w:val="0"/>
                <w:sz w:val="24"/>
                <w14:textFill>
                  <w14:solidFill>
                    <w14:schemeClr w14:val="tx1"/>
                  </w14:solidFill>
                </w14:textFill>
              </w:rPr>
              <w:t>主要生产设备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根据建设单位提供的资料，项目主要生产设备见下表</w:t>
            </w:r>
            <w:r>
              <w:rPr>
                <w:rFonts w:hint="default" w:ascii="Times New Roman" w:hAnsi="Times New Roman" w:cs="Times New Roman"/>
                <w:color w:val="000000" w:themeColor="text1"/>
                <w:sz w:val="24"/>
                <w:szCs w:val="24"/>
                <w:lang w:eastAsia="zh-CN"/>
                <w14:textFill>
                  <w14:solidFill>
                    <w14:schemeClr w14:val="tx1"/>
                  </w14:solidFill>
                </w14:textFill>
              </w:rPr>
              <w:t>。</w:t>
            </w:r>
          </w:p>
          <w:p>
            <w:pPr>
              <w:keepNext w:val="0"/>
              <w:keepLines w:val="0"/>
              <w:suppressLineNumbers w:val="0"/>
              <w:tabs>
                <w:tab w:val="left" w:pos="5250"/>
              </w:tabs>
              <w:adjustRightInd w:val="0"/>
              <w:snapToGrid w:val="0"/>
              <w:spacing w:before="0" w:beforeAutospacing="0" w:after="0" w:afterAutospacing="0"/>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表2-</w:t>
            </w:r>
            <w:r>
              <w:rPr>
                <w:rFonts w:hint="default" w:ascii="Times New Roman" w:hAnsi="Times New Roman" w:cs="Times New Roman"/>
                <w:b/>
                <w:color w:val="000000" w:themeColor="text1"/>
                <w:sz w:val="21"/>
                <w:szCs w:val="21"/>
                <w:lang w:val="en-US" w:eastAsia="zh-CN"/>
                <w14:textFill>
                  <w14:solidFill>
                    <w14:schemeClr w14:val="tx1"/>
                  </w14:solidFill>
                </w14:textFill>
              </w:rPr>
              <w:t>2</w:t>
            </w:r>
            <w:r>
              <w:rPr>
                <w:rFonts w:hint="default" w:ascii="Times New Roman" w:hAnsi="Times New Roman" w:cs="Times New Roman"/>
                <w:b/>
                <w:color w:val="000000" w:themeColor="text1"/>
                <w:sz w:val="21"/>
                <w:szCs w:val="21"/>
                <w14:textFill>
                  <w14:solidFill>
                    <w14:schemeClr w14:val="tx1"/>
                  </w14:solidFill>
                </w14:textFill>
              </w:rPr>
              <w:t xml:space="preserve"> 项目主要生产设备一览表</w:t>
            </w:r>
          </w:p>
          <w:tbl>
            <w:tblPr>
              <w:tblStyle w:val="22"/>
              <w:tblW w:w="496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92"/>
              <w:gridCol w:w="1480"/>
              <w:gridCol w:w="4239"/>
              <w:gridCol w:w="711"/>
              <w:gridCol w:w="8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blHeader/>
              </w:trPr>
              <w:tc>
                <w:tcPr>
                  <w:tcW w:w="37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000000" w:themeColor="text1"/>
                      <w:sz w:val="21"/>
                      <w:szCs w:val="21"/>
                      <w:u w:val="none"/>
                      <w:shd w:val="clear" w:color="auto" w:fill="auto"/>
                      <w14:textFill>
                        <w14:solidFill>
                          <w14:schemeClr w14:val="tx1"/>
                        </w14:solidFill>
                      </w14:textFill>
                    </w:rPr>
                  </w:pPr>
                  <w:r>
                    <w:rPr>
                      <w:rFonts w:hint="default" w:ascii="Times New Roman" w:hAnsi="Times New Roman" w:eastAsia="宋体" w:cs="Times New Roman"/>
                      <w:b/>
                      <w:bCs/>
                      <w:color w:val="000000" w:themeColor="text1"/>
                      <w:sz w:val="21"/>
                      <w:szCs w:val="21"/>
                      <w:u w:val="none"/>
                      <w:shd w:val="clear" w:color="auto" w:fill="auto"/>
                      <w14:textFill>
                        <w14:solidFill>
                          <w14:schemeClr w14:val="tx1"/>
                        </w14:solidFill>
                      </w14:textFill>
                    </w:rPr>
                    <w:t>序号</w:t>
                  </w:r>
                </w:p>
              </w:tc>
              <w:tc>
                <w:tcPr>
                  <w:tcW w:w="9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000000" w:themeColor="text1"/>
                      <w:sz w:val="21"/>
                      <w:szCs w:val="21"/>
                      <w:u w:val="none"/>
                      <w:shd w:val="clear" w:color="auto" w:fill="auto"/>
                      <w14:textFill>
                        <w14:solidFill>
                          <w14:schemeClr w14:val="tx1"/>
                        </w14:solidFill>
                      </w14:textFill>
                    </w:rPr>
                  </w:pPr>
                  <w:r>
                    <w:rPr>
                      <w:rFonts w:hint="default" w:ascii="Times New Roman" w:hAnsi="Times New Roman" w:eastAsia="宋体" w:cs="Times New Roman"/>
                      <w:b/>
                      <w:bCs/>
                      <w:color w:val="000000" w:themeColor="text1"/>
                      <w:sz w:val="21"/>
                      <w:szCs w:val="21"/>
                      <w:u w:val="none"/>
                      <w:shd w:val="clear" w:color="auto" w:fill="auto"/>
                      <w14:textFill>
                        <w14:solidFill>
                          <w14:schemeClr w14:val="tx1"/>
                        </w14:solidFill>
                      </w14:textFill>
                    </w:rPr>
                    <w:t>设备名称</w:t>
                  </w:r>
                </w:p>
              </w:tc>
              <w:tc>
                <w:tcPr>
                  <w:tcW w:w="267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000000" w:themeColor="text1"/>
                      <w:sz w:val="21"/>
                      <w:szCs w:val="21"/>
                      <w:u w:val="none"/>
                      <w:shd w:val="clear" w:color="auto" w:fill="auto"/>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规格及技术规范</w:t>
                  </w:r>
                </w:p>
              </w:tc>
              <w:tc>
                <w:tcPr>
                  <w:tcW w:w="44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000000" w:themeColor="text1"/>
                      <w:kern w:val="2"/>
                      <w:sz w:val="21"/>
                      <w:szCs w:val="21"/>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u w:val="none"/>
                      <w:shd w:val="clear" w:color="auto" w:fill="auto"/>
                      <w14:textFill>
                        <w14:solidFill>
                          <w14:schemeClr w14:val="tx1"/>
                        </w14:solidFill>
                      </w14:textFill>
                    </w:rPr>
                    <w:t>单位</w:t>
                  </w:r>
                </w:p>
              </w:tc>
              <w:tc>
                <w:tcPr>
                  <w:tcW w:w="56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000000" w:themeColor="text1"/>
                      <w:kern w:val="2"/>
                      <w:sz w:val="21"/>
                      <w:szCs w:val="21"/>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u w:val="none"/>
                      <w:shd w:val="clear" w:color="auto" w:fill="auto"/>
                      <w14:textFill>
                        <w14:solidFill>
                          <w14:schemeClr w14:val="tx1"/>
                        </w14:solidFill>
                      </w14:textFill>
                    </w:rPr>
                    <w:t>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w:t>
                  </w:r>
                </w:p>
              </w:tc>
              <w:tc>
                <w:tcPr>
                  <w:tcW w:w="935" w:type="pct"/>
                  <w:vMerge w:val="restar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主变压器系统</w:t>
                  </w: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电力变压器SZ18-150000/110 150MVA</w:t>
                  </w:r>
                </w:p>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115±8×1.25%/37YN，d11 Ud%=14%</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台</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jc w:val="center"/>
                    <w:textAlignment w:val="auto"/>
                    <w:rPr>
                      <w:rFonts w:hint="default" w:ascii="Times New Roman" w:hAnsi="Times New Roman" w:cs="Times New Roman"/>
                      <w:color w:val="000000" w:themeColor="text1"/>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jc w:val="center"/>
                    <w:textAlignment w:val="auto"/>
                    <w:rPr>
                      <w:rFonts w:hint="default" w:ascii="Times New Roman" w:hAnsi="Times New Roman" w:cs="Times New Roman"/>
                      <w:color w:val="000000" w:themeColor="text1"/>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主变中性点成套设备</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套</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w:t>
                  </w:r>
                </w:p>
              </w:tc>
              <w:tc>
                <w:tcPr>
                  <w:tcW w:w="935" w:type="pct"/>
                  <w:vMerge w:val="restar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110kV</w:t>
                  </w:r>
                  <w:r>
                    <w:rPr>
                      <w:rFonts w:hint="default" w:ascii="Times New Roman" w:hAnsi="Times New Roman" w:eastAsia="宋体" w:cs="Times New Roman"/>
                      <w:color w:val="000000" w:themeColor="text1"/>
                      <w:spacing w:val="-5"/>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配电装置</w:t>
                  </w: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避雷器  Y10W-102/266  10kA</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支</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融冰开关</w:t>
                  </w:r>
                  <w:r>
                    <w:rPr>
                      <w:rFonts w:hint="default" w:ascii="Times New Roman" w:hAnsi="Times New Roman" w:eastAsia="宋体" w:cs="Times New Roman"/>
                      <w:color w:val="000000" w:themeColor="text1"/>
                      <w:spacing w:val="-46"/>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GW5-126</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组</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110kV GIS</w:t>
                  </w:r>
                  <w:r>
                    <w:rPr>
                      <w:rFonts w:hint="default" w:ascii="Times New Roman" w:hAnsi="Times New Roman" w:eastAsia="宋体" w:cs="Times New Roman"/>
                      <w:color w:val="000000" w:themeColor="text1"/>
                      <w:spacing w:val="-12"/>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线变组间隔，1250A，40kA/4s</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110kV</w:t>
                  </w:r>
                  <w:r>
                    <w:rPr>
                      <w:rFonts w:hint="default" w:ascii="Times New Roman" w:hAnsi="Times New Roman" w:eastAsia="宋体" w:cs="Times New Roman"/>
                      <w:color w:val="000000" w:themeColor="text1"/>
                      <w:spacing w:val="-3"/>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电压互感器</w:t>
                  </w:r>
                </w:p>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110/√3/0.1/√3/0.1/√3/0.1/√3/0.1kV</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SF6</w:t>
                  </w:r>
                  <w:r>
                    <w:rPr>
                      <w:rFonts w:hint="default" w:ascii="Times New Roman" w:hAnsi="Times New Roman" w:eastAsia="宋体" w:cs="Times New Roman"/>
                      <w:color w:val="000000" w:themeColor="text1"/>
                      <w:spacing w:val="-2"/>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气体密度及微水在线监测系统</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钢芯铝绞线</w:t>
                  </w:r>
                  <w:r>
                    <w:rPr>
                      <w:rFonts w:hint="default" w:ascii="Times New Roman" w:hAnsi="Times New Roman" w:eastAsia="宋体" w:cs="Times New Roman"/>
                      <w:color w:val="000000" w:themeColor="text1"/>
                      <w:spacing w:val="-5"/>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JL/G1A-400/</w:t>
                  </w:r>
                  <w:r>
                    <w:rPr>
                      <w:rFonts w:hint="default" w:ascii="Times New Roman" w:hAnsi="Times New Roman" w:cs="Times New Roman"/>
                      <w:color w:val="000000" w:themeColor="text1"/>
                      <w:sz w:val="21"/>
                      <w:szCs w:val="21"/>
                      <w:lang w:val="en-US" w:eastAsia="zh-CN"/>
                      <w14:textFill>
                        <w14:solidFill>
                          <w14:schemeClr w14:val="tx1"/>
                        </w14:solidFill>
                      </w14:textFill>
                    </w:rPr>
                    <w:t>35</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tabs>
                      <w:tab w:val="left" w:pos="674"/>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设备线夹</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耐张绝缘子串</w:t>
                  </w:r>
                  <w:r>
                    <w:rPr>
                      <w:rFonts w:hint="default" w:ascii="Times New Roman" w:hAnsi="Times New Roman" w:eastAsia="宋体" w:cs="Times New Roman"/>
                      <w:color w:val="000000" w:themeColor="text1"/>
                      <w:spacing w:val="-49"/>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10(XP-70)</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串</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w:t>
                  </w:r>
                </w:p>
              </w:tc>
              <w:tc>
                <w:tcPr>
                  <w:tcW w:w="935" w:type="pct"/>
                  <w:vMerge w:val="restar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35kV</w:t>
                  </w:r>
                  <w:r>
                    <w:rPr>
                      <w:rFonts w:hint="default" w:ascii="Times New Roman" w:hAnsi="Times New Roman" w:eastAsia="宋体" w:cs="Times New Roman"/>
                      <w:color w:val="000000" w:themeColor="text1"/>
                      <w:spacing w:val="-3"/>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配电装置</w:t>
                  </w: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35kV 集电线路进线柜</w:t>
                  </w:r>
                  <w:r>
                    <w:rPr>
                      <w:rFonts w:hint="default" w:ascii="Times New Roman" w:hAnsi="Times New Roman" w:eastAsia="宋体" w:cs="Times New Roman"/>
                      <w:color w:val="000000" w:themeColor="text1"/>
                      <w:spacing w:val="-54"/>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KYN61-40.5型</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面</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35kV 出线柜 KYN61-40.5</w:t>
                  </w:r>
                  <w:r>
                    <w:rPr>
                      <w:rFonts w:hint="default" w:ascii="Times New Roman" w:hAnsi="Times New Roman" w:eastAsia="宋体" w:cs="Times New Roman"/>
                      <w:color w:val="000000" w:themeColor="text1"/>
                      <w:spacing w:val="-9"/>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型</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面</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35kV PT 及避雷器柜</w:t>
                  </w:r>
                  <w:r>
                    <w:rPr>
                      <w:rFonts w:hint="default" w:ascii="Times New Roman" w:hAnsi="Times New Roman" w:eastAsia="宋体" w:cs="Times New Roman"/>
                      <w:color w:val="000000" w:themeColor="text1"/>
                      <w:spacing w:val="-56"/>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KYN61-40.5 型</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面</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接地兼站用变柜</w:t>
                  </w:r>
                  <w:r>
                    <w:rPr>
                      <w:rFonts w:hint="default" w:ascii="Times New Roman" w:hAnsi="Times New Roman" w:eastAsia="宋体" w:cs="Times New Roman"/>
                      <w:color w:val="000000" w:themeColor="text1"/>
                      <w:spacing w:val="-53"/>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KYN61-40.5 型</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面</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无功补偿柜</w:t>
                  </w:r>
                  <w:r>
                    <w:rPr>
                      <w:rFonts w:hint="default" w:ascii="Times New Roman" w:hAnsi="Times New Roman" w:eastAsia="宋体" w:cs="Times New Roman"/>
                      <w:color w:val="000000" w:themeColor="text1"/>
                      <w:spacing w:val="-53"/>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KYN61-40.5 型</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面</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水冷直挂式</w:t>
                  </w:r>
                  <w:r>
                    <w:rPr>
                      <w:rFonts w:hint="default" w:ascii="Times New Roman" w:hAnsi="Times New Roman" w:eastAsia="宋体" w:cs="Times New Roman"/>
                      <w:color w:val="000000" w:themeColor="text1"/>
                      <w:spacing w:val="-55"/>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SVG，容量±20Mvar</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 次</w:t>
                  </w:r>
                  <w:r>
                    <w:rPr>
                      <w:rFonts w:hint="default" w:ascii="Times New Roman" w:hAnsi="Times New Roman" w:eastAsia="宋体" w:cs="Times New Roman"/>
                      <w:color w:val="000000" w:themeColor="text1"/>
                      <w:spacing w:val="-50"/>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FC，容量±5Mvar</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 次</w:t>
                  </w:r>
                  <w:r>
                    <w:rPr>
                      <w:rFonts w:hint="default" w:ascii="Times New Roman" w:hAnsi="Times New Roman" w:eastAsia="宋体" w:cs="Times New Roman"/>
                      <w:color w:val="000000" w:themeColor="text1"/>
                      <w:spacing w:val="-50"/>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FC，容量±5Mvar</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接地兼站用变成套装置</w:t>
                  </w:r>
                </w:p>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DKSC-1050/37-250/0.4，ZN,yn11，50</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TMY-2×80×10</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35kV 预制舱</w:t>
                  </w:r>
                  <w:r>
                    <w:rPr>
                      <w:rFonts w:hint="default" w:ascii="Times New Roman" w:hAnsi="Times New Roman" w:eastAsia="宋体" w:cs="Times New Roman"/>
                      <w:color w:val="000000" w:themeColor="text1"/>
                      <w:spacing w:val="-50"/>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SF6 气体泄露检测系统</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4</w:t>
                  </w:r>
                </w:p>
              </w:tc>
              <w:tc>
                <w:tcPr>
                  <w:tcW w:w="935"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站用电系统</w:t>
                  </w: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SCB11-250/10</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w:t>
                  </w:r>
                </w:p>
              </w:tc>
              <w:tc>
                <w:tcPr>
                  <w:tcW w:w="935" w:type="pct"/>
                  <w:vMerge w:val="restar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站内电缆及防火堵料</w:t>
                  </w: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1kV</w:t>
                  </w:r>
                  <w:r>
                    <w:rPr>
                      <w:rFonts w:hint="default" w:ascii="Times New Roman" w:hAnsi="Times New Roman" w:eastAsia="宋体" w:cs="Times New Roman"/>
                      <w:color w:val="000000" w:themeColor="text1"/>
                      <w:spacing w:val="-2"/>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电力电缆</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电缆防火堵料</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电缆防火涂料</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35kV 电力电缆</w:t>
                  </w:r>
                  <w:r>
                    <w:rPr>
                      <w:rFonts w:hint="default" w:ascii="Times New Roman" w:hAnsi="Times New Roman" w:eastAsia="宋体" w:cs="Times New Roman"/>
                      <w:color w:val="000000" w:themeColor="text1"/>
                      <w:spacing w:val="-52"/>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ZC-YJV22-3×70</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35kV 电力电缆</w:t>
                  </w:r>
                  <w:r>
                    <w:rPr>
                      <w:rFonts w:hint="default" w:ascii="Times New Roman" w:hAnsi="Times New Roman" w:eastAsia="宋体" w:cs="Times New Roman"/>
                      <w:color w:val="000000" w:themeColor="text1"/>
                      <w:spacing w:val="-54"/>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ZC-YJV22-3×300</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35kV 电力电缆</w:t>
                  </w:r>
                  <w:r>
                    <w:rPr>
                      <w:rFonts w:hint="default" w:ascii="Times New Roman" w:hAnsi="Times New Roman" w:eastAsia="宋体" w:cs="Times New Roman"/>
                      <w:color w:val="000000" w:themeColor="text1"/>
                      <w:spacing w:val="-52"/>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ZC-YJV22-3×70</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35kV 电力电缆头(与</w:t>
                  </w:r>
                  <w:r>
                    <w:rPr>
                      <w:rFonts w:hint="default" w:ascii="Times New Roman" w:hAnsi="Times New Roman" w:eastAsia="宋体" w:cs="Times New Roman"/>
                      <w:color w:val="000000" w:themeColor="text1"/>
                      <w:spacing w:val="-54"/>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ZC-YJV22-3×70)</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35kV 电力电缆头(与</w:t>
                  </w:r>
                  <w:r>
                    <w:rPr>
                      <w:rFonts w:hint="default" w:ascii="Times New Roman" w:hAnsi="Times New Roman" w:eastAsia="宋体" w:cs="Times New Roman"/>
                      <w:color w:val="000000" w:themeColor="text1"/>
                      <w:spacing w:val="-52"/>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3×300 配套)</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10kV 电力电缆</w:t>
                  </w:r>
                  <w:r>
                    <w:rPr>
                      <w:rFonts w:hint="default" w:ascii="Times New Roman" w:hAnsi="Times New Roman" w:eastAsia="宋体" w:cs="Times New Roman"/>
                      <w:color w:val="000000" w:themeColor="text1"/>
                      <w:spacing w:val="-52"/>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ZC-YJV22-3×70</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10kV 电力电缆头与(ZC-YJV22-3×70</w:t>
                  </w:r>
                  <w:r>
                    <w:rPr>
                      <w:rFonts w:hint="default" w:ascii="Times New Roman" w:hAnsi="Times New Roman" w:eastAsia="宋体" w:cs="Times New Roman"/>
                      <w:color w:val="000000" w:themeColor="text1"/>
                      <w:spacing w:val="-8"/>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配套)</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6</w:t>
                  </w:r>
                </w:p>
              </w:tc>
              <w:tc>
                <w:tcPr>
                  <w:tcW w:w="935" w:type="pct"/>
                  <w:vMerge w:val="restar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升压站防雷、接地工程</w:t>
                  </w: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水平接地装置</w:t>
                  </w:r>
                  <w:r>
                    <w:rPr>
                      <w:rFonts w:hint="default" w:ascii="Times New Roman" w:hAnsi="Times New Roman" w:eastAsia="宋体" w:cs="Times New Roman"/>
                      <w:color w:val="000000" w:themeColor="text1"/>
                      <w:spacing w:val="-5"/>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镀锌扁钢-60×6mm</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垂直接地装置 镀锌钢管</w:t>
                  </w:r>
                  <w:r>
                    <w:rPr>
                      <w:rFonts w:hint="default" w:ascii="Times New Roman" w:hAnsi="Times New Roman" w:eastAsia="宋体" w:cs="Times New Roman"/>
                      <w:color w:val="000000" w:themeColor="text1"/>
                      <w:spacing w:val="-51"/>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DN50×3.5</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电解地极</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构架避雷针，针高</w:t>
                  </w:r>
                  <w:r>
                    <w:rPr>
                      <w:rFonts w:hint="default" w:ascii="Times New Roman" w:hAnsi="Times New Roman" w:eastAsia="宋体" w:cs="Times New Roman"/>
                      <w:color w:val="000000" w:themeColor="text1"/>
                      <w:spacing w:val="-47"/>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35m</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7</w:t>
                  </w:r>
                </w:p>
              </w:tc>
              <w:tc>
                <w:tcPr>
                  <w:tcW w:w="935" w:type="pct"/>
                  <w:vMerge w:val="restar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其它</w:t>
                  </w: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照明动力配电箱</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室外照明灯具</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焊接钢管</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YJV</w:t>
                  </w:r>
                  <w:r>
                    <w:rPr>
                      <w:rFonts w:hint="default" w:ascii="Times New Roman" w:hAnsi="Times New Roman" w:eastAsia="宋体" w:cs="Times New Roman"/>
                      <w:color w:val="000000" w:themeColor="text1"/>
                      <w:spacing w:val="-2"/>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电力电缆(3×4mm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检修箱</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电缆支架</w:t>
                  </w:r>
                  <w:r>
                    <w:rPr>
                      <w:rFonts w:hint="default" w:ascii="Times New Roman" w:hAnsi="Times New Roman" w:eastAsia="宋体" w:cs="Times New Roman"/>
                      <w:color w:val="000000" w:themeColor="text1"/>
                      <w:spacing w:val="-47"/>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L50×5</w:t>
                  </w:r>
                  <w:r>
                    <w:rPr>
                      <w:rFonts w:hint="default" w:ascii="Times New Roman" w:hAnsi="Times New Roman" w:eastAsia="宋体" w:cs="Times New Roman"/>
                      <w:color w:val="000000" w:themeColor="text1"/>
                      <w:spacing w:val="-3"/>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及</w:t>
                  </w:r>
                  <w:r>
                    <w:rPr>
                      <w:rFonts w:hint="default" w:ascii="Times New Roman" w:hAnsi="Times New Roman" w:eastAsia="宋体" w:cs="Times New Roman"/>
                      <w:color w:val="000000" w:themeColor="text1"/>
                      <w:spacing w:val="-47"/>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L40×4</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8"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钢材(各种型号)</w:t>
                  </w:r>
                </w:p>
              </w:tc>
              <w:tc>
                <w:tcPr>
                  <w:tcW w:w="449"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5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r>
          </w:tbl>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color w:val="000000" w:themeColor="text1"/>
                <w:sz w:val="24"/>
                <w:lang w:eastAsia="zh-CN"/>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5</w:t>
            </w:r>
            <w:r>
              <w:rPr>
                <w:rFonts w:hint="default" w:ascii="Times New Roman" w:hAnsi="Times New Roman" w:cs="Times New Roman"/>
                <w:b/>
                <w:color w:val="000000" w:themeColor="text1"/>
                <w:sz w:val="24"/>
                <w14:textFill>
                  <w14:solidFill>
                    <w14:schemeClr w14:val="tx1"/>
                  </w14:solidFill>
                </w14:textFill>
              </w:rPr>
              <w:t>、</w:t>
            </w:r>
            <w:r>
              <w:rPr>
                <w:rFonts w:hint="default" w:ascii="Times New Roman" w:hAnsi="Times New Roman" w:cs="Times New Roman"/>
                <w:b/>
                <w:color w:val="000000" w:themeColor="text1"/>
                <w:sz w:val="24"/>
                <w:lang w:val="en-US" w:eastAsia="zh-CN"/>
                <w14:textFill>
                  <w14:solidFill>
                    <w14:schemeClr w14:val="tx1"/>
                  </w14:solidFill>
                </w14:textFill>
              </w:rPr>
              <w:t>公用工程</w:t>
            </w:r>
          </w:p>
          <w:p>
            <w:pPr>
              <w:pStyle w:val="52"/>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（1）供水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000000" w:themeColor="text1"/>
                <w:kern w:val="2"/>
                <w:sz w:val="24"/>
                <w:szCs w:val="24"/>
                <w:u w:val="single"/>
                <w:shd w:val="clear" w:color="auto" w:fill="auto"/>
                <w:lang w:val="en-US" w:eastAsia="zh-CN" w:bidi="ar-SA"/>
                <w14:textFill>
                  <w14:solidFill>
                    <w14:schemeClr w14:val="tx1"/>
                  </w14:solidFill>
                </w14:textFill>
              </w:rPr>
            </w:pPr>
            <w:r>
              <w:rPr>
                <w:rFonts w:hint="default" w:ascii="Times New Roman" w:hAnsi="Times New Roman" w:cs="Times New Roman"/>
                <w:b w:val="0"/>
                <w:bCs/>
                <w:color w:val="000000" w:themeColor="text1"/>
                <w:kern w:val="2"/>
                <w:sz w:val="24"/>
                <w:szCs w:val="24"/>
                <w:u w:val="single"/>
                <w:shd w:val="clear" w:color="auto" w:fill="auto"/>
                <w:lang w:val="en-US" w:eastAsia="zh-CN" w:bidi="ar-SA"/>
                <w14:textFill>
                  <w14:solidFill>
                    <w14:schemeClr w14:val="tx1"/>
                  </w14:solidFill>
                </w14:textFill>
              </w:rPr>
              <w:t>项目水源采用地下水，在项目附近打一眼深水井。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000000" w:themeColor="text1"/>
                <w:kern w:val="2"/>
                <w:sz w:val="24"/>
                <w:szCs w:val="24"/>
                <w:u w:val="single"/>
                <w:shd w:val="clear" w:color="auto" w:fill="auto"/>
                <w:lang w:val="en-US" w:eastAsia="zh-CN" w:bidi="ar-SA"/>
                <w14:textFill>
                  <w14:solidFill>
                    <w14:schemeClr w14:val="tx1"/>
                  </w14:solidFill>
                </w14:textFill>
              </w:rPr>
            </w:pPr>
            <w:r>
              <w:rPr>
                <w:rFonts w:hint="default" w:ascii="Times New Roman" w:hAnsi="Times New Roman" w:cs="Times New Roman"/>
                <w:b w:val="0"/>
                <w:bCs/>
                <w:color w:val="000000" w:themeColor="text1"/>
                <w:kern w:val="2"/>
                <w:sz w:val="24"/>
                <w:szCs w:val="24"/>
                <w:u w:val="single"/>
                <w:shd w:val="clear" w:color="auto" w:fill="auto"/>
                <w:lang w:val="en-US" w:eastAsia="zh-CN" w:bidi="ar-SA"/>
                <w14:textFill>
                  <w14:solidFill>
                    <w14:schemeClr w14:val="tx1"/>
                  </w14:solidFill>
                </w14:textFill>
              </w:rPr>
              <w:t>升压站内生活给水系统采用供水泵与气压罐联合供水方式。站内设置综合水泵房，内设有8m</w:t>
            </w:r>
            <w:r>
              <w:rPr>
                <w:rFonts w:hint="default" w:ascii="Times New Roman" w:hAnsi="Times New Roman" w:cs="Times New Roman"/>
                <w:b w:val="0"/>
                <w:bCs/>
                <w:color w:val="000000" w:themeColor="text1"/>
                <w:kern w:val="2"/>
                <w:sz w:val="24"/>
                <w:szCs w:val="24"/>
                <w:u w:val="single"/>
                <w:shd w:val="clear" w:color="auto" w:fill="auto"/>
                <w:vertAlign w:val="superscript"/>
                <w:lang w:val="en-US" w:eastAsia="zh-CN" w:bidi="ar-SA"/>
                <w14:textFill>
                  <w14:solidFill>
                    <w14:schemeClr w14:val="tx1"/>
                  </w14:solidFill>
                </w14:textFill>
              </w:rPr>
              <w:t>3</w:t>
            </w:r>
            <w:r>
              <w:rPr>
                <w:rFonts w:hint="default" w:ascii="Times New Roman" w:hAnsi="Times New Roman" w:cs="Times New Roman"/>
                <w:b w:val="0"/>
                <w:bCs/>
                <w:color w:val="000000" w:themeColor="text1"/>
                <w:kern w:val="2"/>
                <w:sz w:val="24"/>
                <w:szCs w:val="24"/>
                <w:u w:val="single"/>
                <w:shd w:val="clear" w:color="auto" w:fill="auto"/>
                <w:lang w:val="en-US" w:eastAsia="zh-CN" w:bidi="ar-SA"/>
                <w14:textFill>
                  <w14:solidFill>
                    <w14:schemeClr w14:val="tx1"/>
                  </w14:solidFill>
                </w14:textFill>
              </w:rPr>
              <w:t xml:space="preserve"> 生活水箱、气压供水装置(包括供水泵2 台，气压罐1 只，供水装置控制柜、电缆、配套阀门及安装配件各1 套)。地下水通过深井泵加压直接送至升压站生活水箱，经供水泵向气压罐补水，气压罐供水至各用水点。气压罐具有一定调节容积，当气压罐内压力降至设定低压力时，自动启动供水泵，由水箱向气压罐补水；当气压罐内压力升至设定高压力时，自动停止供水泵，由气压罐向各用水点供水。站内生产、生活供水管网为枝状管网，给水管采用PPR 管，埋地敷设，热熔连接。</w:t>
            </w:r>
          </w:p>
          <w:p>
            <w:pPr>
              <w:pStyle w:val="52"/>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bCs/>
                <w:color w:val="000000" w:themeColor="text1"/>
                <w:u w:val="single"/>
                <w:shd w:val="clear" w:color="auto" w:fill="auto"/>
                <w14:textFill>
                  <w14:solidFill>
                    <w14:schemeClr w14:val="tx1"/>
                  </w14:solidFill>
                </w14:textFill>
              </w:rPr>
            </w:pPr>
            <w:r>
              <w:rPr>
                <w:rFonts w:hint="default" w:ascii="Times New Roman" w:hAnsi="Times New Roman" w:cs="Times New Roman"/>
                <w:b w:val="0"/>
                <w:bCs/>
                <w:color w:val="000000" w:themeColor="text1"/>
                <w:kern w:val="2"/>
                <w:sz w:val="24"/>
                <w:szCs w:val="24"/>
                <w:u w:val="single"/>
                <w:shd w:val="clear" w:color="auto" w:fill="auto"/>
                <w:lang w:val="en-US" w:eastAsia="zh-CN" w:bidi="ar-SA"/>
                <w14:textFill>
                  <w14:solidFill>
                    <w14:schemeClr w14:val="tx1"/>
                  </w14:solidFill>
                </w14:textFill>
              </w:rPr>
              <w:t>项目运营期用水主要为</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员工</w:t>
            </w:r>
            <w:r>
              <w:rPr>
                <w:rFonts w:hint="default" w:ascii="Times New Roman" w:hAnsi="Times New Roman" w:cs="Times New Roman"/>
                <w:b w:val="0"/>
                <w:bCs/>
                <w:color w:val="000000" w:themeColor="text1"/>
                <w:kern w:val="2"/>
                <w:sz w:val="24"/>
                <w:szCs w:val="24"/>
                <w:u w:val="single"/>
                <w:shd w:val="clear" w:color="auto" w:fill="auto"/>
                <w:lang w:val="en-US" w:eastAsia="zh-CN" w:bidi="ar-SA"/>
                <w14:textFill>
                  <w14:solidFill>
                    <w14:schemeClr w14:val="tx1"/>
                  </w14:solidFill>
                </w14:textFill>
              </w:rPr>
              <w:t>生活用水。员工生活用水主要为职工盥洗用水和食堂用水，</w:t>
            </w:r>
            <w:r>
              <w:rPr>
                <w:rFonts w:hint="default" w:ascii="Times New Roman" w:hAnsi="Times New Roman" w:cs="Times New Roman"/>
                <w:bCs/>
                <w:color w:val="000000" w:themeColor="text1"/>
                <w:u w:val="single"/>
                <w:shd w:val="clear" w:color="auto" w:fill="auto"/>
                <w14:textFill>
                  <w14:solidFill>
                    <w14:schemeClr w14:val="tx1"/>
                  </w14:solidFill>
                </w14:textFill>
              </w:rPr>
              <w:t>根据《湖南省地方标准-用水定额》（DB43/T388-</w:t>
            </w:r>
            <w:r>
              <w:rPr>
                <w:rFonts w:hint="default" w:ascii="Times New Roman" w:hAnsi="Times New Roman" w:cs="Times New Roman"/>
                <w:bCs/>
                <w:color w:val="000000" w:themeColor="text1"/>
                <w:u w:val="single"/>
                <w:shd w:val="clear" w:color="auto" w:fill="auto"/>
                <w:lang w:val="en-US" w:eastAsia="zh-CN"/>
                <w14:textFill>
                  <w14:solidFill>
                    <w14:schemeClr w14:val="tx1"/>
                  </w14:solidFill>
                </w14:textFill>
              </w:rPr>
              <w:t>2020</w:t>
            </w:r>
            <w:r>
              <w:rPr>
                <w:rFonts w:hint="default" w:ascii="Times New Roman" w:hAnsi="Times New Roman" w:cs="Times New Roman"/>
                <w:bCs/>
                <w:color w:val="000000" w:themeColor="text1"/>
                <w:u w:val="single"/>
                <w:shd w:val="clear" w:color="auto" w:fill="auto"/>
                <w14:textFill>
                  <w14:solidFill>
                    <w14:schemeClr w14:val="tx1"/>
                  </w14:solidFill>
                </w14:textFill>
              </w:rPr>
              <w:t>），</w:t>
            </w:r>
            <w:r>
              <w:rPr>
                <w:rFonts w:hint="default" w:ascii="Times New Roman" w:hAnsi="Times New Roman" w:cs="Times New Roman"/>
                <w:bCs/>
                <w:color w:val="000000" w:themeColor="text1"/>
                <w:u w:val="single"/>
                <w:shd w:val="clear" w:color="auto" w:fill="auto"/>
                <w:lang w:eastAsia="zh-CN"/>
                <w14:textFill>
                  <w14:solidFill>
                    <w14:schemeClr w14:val="tx1"/>
                  </w14:solidFill>
                </w14:textFill>
              </w:rPr>
              <w:t>因项目位于农村地区，</w:t>
            </w:r>
            <w:r>
              <w:rPr>
                <w:rFonts w:hint="default" w:ascii="Times New Roman" w:hAnsi="Times New Roman" w:cs="Times New Roman"/>
                <w:bCs/>
                <w:color w:val="000000" w:themeColor="text1"/>
                <w:u w:val="single"/>
                <w:shd w:val="clear" w:color="auto" w:fill="auto"/>
                <w14:textFill>
                  <w14:solidFill>
                    <w14:schemeClr w14:val="tx1"/>
                  </w14:solidFill>
                </w14:textFill>
              </w:rPr>
              <w:t>参照</w:t>
            </w:r>
            <w:r>
              <w:rPr>
                <w:rFonts w:hint="default" w:ascii="Times New Roman" w:hAnsi="Times New Roman" w:cs="Times New Roman"/>
                <w:bCs/>
                <w:color w:val="000000" w:themeColor="text1"/>
                <w:u w:val="single"/>
                <w:shd w:val="clear" w:color="auto" w:fill="auto"/>
                <w:lang w:eastAsia="zh-CN"/>
                <w14:textFill>
                  <w14:solidFill>
                    <w14:schemeClr w14:val="tx1"/>
                  </w14:solidFill>
                </w14:textFill>
              </w:rPr>
              <w:t>分散式供水</w:t>
            </w:r>
            <w:r>
              <w:rPr>
                <w:rFonts w:hint="default" w:ascii="Times New Roman" w:hAnsi="Times New Roman" w:cs="Times New Roman"/>
                <w:bCs/>
                <w:color w:val="000000" w:themeColor="text1"/>
                <w:u w:val="single"/>
                <w:shd w:val="clear" w:color="auto" w:fill="auto"/>
                <w14:textFill>
                  <w14:solidFill>
                    <w14:schemeClr w14:val="tx1"/>
                  </w14:solidFill>
                </w14:textFill>
              </w:rPr>
              <w:t>的用水定额，按</w:t>
            </w:r>
            <w:r>
              <w:rPr>
                <w:rFonts w:hint="default" w:ascii="Times New Roman" w:hAnsi="Times New Roman" w:cs="Times New Roman"/>
                <w:bCs/>
                <w:color w:val="000000" w:themeColor="text1"/>
                <w:u w:val="single"/>
                <w:shd w:val="clear" w:color="auto" w:fill="auto"/>
                <w:lang w:val="en-US" w:eastAsia="zh-CN"/>
                <w14:textFill>
                  <w14:solidFill>
                    <w14:schemeClr w14:val="tx1"/>
                  </w14:solidFill>
                </w14:textFill>
              </w:rPr>
              <w:t>90</w:t>
            </w:r>
            <w:r>
              <w:rPr>
                <w:rFonts w:hint="default" w:ascii="Times New Roman" w:hAnsi="Times New Roman" w:cs="Times New Roman"/>
                <w:bCs/>
                <w:color w:val="000000" w:themeColor="text1"/>
                <w:u w:val="single"/>
                <w:shd w:val="clear" w:color="auto" w:fill="auto"/>
                <w14:textFill>
                  <w14:solidFill>
                    <w14:schemeClr w14:val="tx1"/>
                  </w14:solidFill>
                </w14:textFill>
              </w:rPr>
              <w:t>L/人·d计，</w:t>
            </w:r>
            <w:r>
              <w:rPr>
                <w:rFonts w:hint="default" w:ascii="Times New Roman" w:hAnsi="Times New Roman" w:cs="Times New Roman"/>
                <w:b w:val="0"/>
                <w:bCs/>
                <w:color w:val="000000" w:themeColor="text1"/>
                <w:kern w:val="2"/>
                <w:sz w:val="24"/>
                <w:szCs w:val="24"/>
                <w:u w:val="single"/>
                <w:shd w:val="clear" w:color="auto" w:fill="auto"/>
                <w:lang w:val="en-US" w:eastAsia="zh-CN" w:bidi="ar-SA"/>
                <w14:textFill>
                  <w14:solidFill>
                    <w14:schemeClr w14:val="tx1"/>
                  </w14:solidFill>
                </w14:textFill>
              </w:rPr>
              <w:t>本项目劳动定员为4 人，按365 天计，</w:t>
            </w:r>
            <w:r>
              <w:rPr>
                <w:rFonts w:hint="default" w:ascii="Times New Roman" w:hAnsi="Times New Roman" w:cs="Times New Roman"/>
                <w:bCs/>
                <w:color w:val="000000" w:themeColor="text1"/>
                <w:highlight w:val="none"/>
                <w:u w:val="single"/>
                <w:shd w:val="clear" w:color="auto" w:fill="auto"/>
                <w14:textFill>
                  <w14:solidFill>
                    <w14:schemeClr w14:val="tx1"/>
                  </w14:solidFill>
                </w14:textFill>
              </w:rPr>
              <w:t>则本项目生活用水量为</w:t>
            </w:r>
            <w:r>
              <w:rPr>
                <w:rFonts w:hint="default" w:ascii="Times New Roman" w:hAnsi="Times New Roman" w:cs="Times New Roman"/>
                <w:bCs/>
                <w:color w:val="000000" w:themeColor="text1"/>
                <w:highlight w:val="none"/>
                <w:u w:val="single"/>
                <w:shd w:val="clear" w:color="auto" w:fill="auto"/>
                <w:lang w:val="en-US" w:eastAsia="zh-CN"/>
                <w14:textFill>
                  <w14:solidFill>
                    <w14:schemeClr w14:val="tx1"/>
                  </w14:solidFill>
                </w14:textFill>
              </w:rPr>
              <w:t>131.4</w:t>
            </w:r>
            <w:r>
              <w:rPr>
                <w:rFonts w:hint="default" w:ascii="Times New Roman" w:hAnsi="Times New Roman" w:cs="Times New Roman"/>
                <w:bCs/>
                <w:color w:val="000000" w:themeColor="text1"/>
                <w:highlight w:val="none"/>
                <w:u w:val="single"/>
                <w:shd w:val="clear" w:color="auto" w:fill="auto"/>
                <w14:textFill>
                  <w14:solidFill>
                    <w14:schemeClr w14:val="tx1"/>
                  </w14:solidFill>
                </w14:textFill>
              </w:rPr>
              <w:t>t/a、</w:t>
            </w:r>
            <w:r>
              <w:rPr>
                <w:rFonts w:hint="default" w:ascii="Times New Roman" w:hAnsi="Times New Roman" w:cs="Times New Roman"/>
                <w:bCs/>
                <w:color w:val="000000" w:themeColor="text1"/>
                <w:highlight w:val="none"/>
                <w:u w:val="single"/>
                <w:shd w:val="clear" w:color="auto" w:fill="auto"/>
                <w:lang w:val="en-US" w:eastAsia="zh-CN"/>
                <w14:textFill>
                  <w14:solidFill>
                    <w14:schemeClr w14:val="tx1"/>
                  </w14:solidFill>
                </w14:textFill>
              </w:rPr>
              <w:t>0.36</w:t>
            </w:r>
            <w:r>
              <w:rPr>
                <w:rFonts w:hint="default" w:ascii="Times New Roman" w:hAnsi="Times New Roman" w:cs="Times New Roman"/>
                <w:bCs/>
                <w:color w:val="000000" w:themeColor="text1"/>
                <w:highlight w:val="none"/>
                <w:u w:val="single"/>
                <w:shd w:val="clear" w:color="auto" w:fill="auto"/>
                <w14:textFill>
                  <w14:solidFill>
                    <w14:schemeClr w14:val="tx1"/>
                  </w14:solidFill>
                </w14:textFill>
              </w:rPr>
              <w:t>t/d</w:t>
            </w:r>
            <w:r>
              <w:rPr>
                <w:rFonts w:hint="default" w:ascii="Times New Roman" w:hAnsi="Times New Roman" w:cs="Times New Roman"/>
                <w:bCs/>
                <w:color w:val="000000" w:themeColor="text1"/>
                <w:u w:val="single"/>
                <w:shd w:val="clear" w:color="auto" w:fill="auto"/>
                <w14:textFill>
                  <w14:solidFill>
                    <w14:schemeClr w14:val="tx1"/>
                  </w14:solidFill>
                </w14:textFill>
              </w:rPr>
              <w:t>。</w:t>
            </w:r>
          </w:p>
          <w:p>
            <w:pPr>
              <w:pStyle w:val="52"/>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b w:val="0"/>
                <w:bCs/>
                <w:color w:val="000000" w:themeColor="text1"/>
                <w:kern w:val="2"/>
                <w:sz w:val="24"/>
                <w:szCs w:val="24"/>
                <w:shd w:val="clear" w:color="auto" w:fill="auto"/>
                <w:lang w:val="en-US" w:eastAsia="zh-CN" w:bidi="ar-SA"/>
                <w14:textFill>
                  <w14:solidFill>
                    <w14:schemeClr w14:val="tx1"/>
                  </w14:solidFill>
                </w14:textFill>
              </w:rPr>
            </w:pPr>
            <w:r>
              <w:rPr>
                <w:rFonts w:hint="default" w:ascii="Times New Roman" w:hAnsi="Times New Roman" w:cs="Times New Roman"/>
                <w:b w:val="0"/>
                <w:bCs/>
                <w:color w:val="000000" w:themeColor="text1"/>
                <w:kern w:val="2"/>
                <w:sz w:val="24"/>
                <w:szCs w:val="24"/>
                <w:shd w:val="clear" w:color="auto" w:fill="auto"/>
                <w:lang w:val="en-US" w:eastAsia="zh-CN" w:bidi="ar-SA"/>
                <w14:textFill>
                  <w14:solidFill>
                    <w14:schemeClr w14:val="tx1"/>
                  </w14:solidFill>
                </w14:textFill>
              </w:rPr>
              <w:t>（2）排水</w:t>
            </w:r>
          </w:p>
          <w:p>
            <w:pPr>
              <w:pStyle w:val="52"/>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b w:val="0"/>
                <w:bCs/>
                <w:color w:val="000000" w:themeColor="text1"/>
                <w:kern w:val="2"/>
                <w:sz w:val="24"/>
                <w:szCs w:val="24"/>
                <w:shd w:val="clear" w:color="auto" w:fill="auto"/>
                <w:lang w:val="en-US" w:eastAsia="zh-CN" w:bidi="ar-SA"/>
                <w14:textFill>
                  <w14:solidFill>
                    <w14:schemeClr w14:val="tx1"/>
                  </w14:solidFill>
                </w14:textFill>
              </w:rPr>
            </w:pPr>
            <w:r>
              <w:rPr>
                <w:rFonts w:hint="default" w:ascii="Times New Roman" w:hAnsi="Times New Roman" w:cs="Times New Roman"/>
                <w:b w:val="0"/>
                <w:bCs/>
                <w:color w:val="000000" w:themeColor="text1"/>
                <w:kern w:val="2"/>
                <w:sz w:val="24"/>
                <w:szCs w:val="24"/>
                <w:shd w:val="clear" w:color="auto" w:fill="auto"/>
                <w:lang w:val="en-US" w:eastAsia="zh-CN" w:bidi="ar-SA"/>
                <w14:textFill>
                  <w14:solidFill>
                    <w14:schemeClr w14:val="tx1"/>
                  </w14:solidFill>
                </w14:textFill>
              </w:rPr>
              <w:t>变电站排水系统采用雨污分流制。</w:t>
            </w:r>
          </w:p>
          <w:p>
            <w:pPr>
              <w:pStyle w:val="52"/>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b w:val="0"/>
                <w:bCs/>
                <w:color w:val="000000" w:themeColor="text1"/>
                <w:kern w:val="2"/>
                <w:sz w:val="24"/>
                <w:szCs w:val="24"/>
                <w:shd w:val="clear" w:color="auto" w:fill="auto"/>
                <w:lang w:val="en-US" w:eastAsia="zh-CN" w:bidi="ar-SA"/>
                <w14:textFill>
                  <w14:solidFill>
                    <w14:schemeClr w14:val="tx1"/>
                  </w14:solidFill>
                </w14:textFill>
              </w:rPr>
            </w:pPr>
            <w:r>
              <w:rPr>
                <w:rFonts w:hint="default" w:ascii="Times New Roman" w:hAnsi="Times New Roman" w:cs="Times New Roman"/>
                <w:b w:val="0"/>
                <w:bCs/>
                <w:color w:val="000000" w:themeColor="text1"/>
                <w:kern w:val="2"/>
                <w:sz w:val="24"/>
                <w:szCs w:val="24"/>
                <w:shd w:val="clear" w:color="auto" w:fill="auto"/>
                <w:lang w:val="en-US" w:eastAsia="zh-CN" w:bidi="ar-SA"/>
                <w14:textFill>
                  <w14:solidFill>
                    <w14:schemeClr w14:val="tx1"/>
                  </w14:solidFill>
                </w14:textFill>
              </w:rPr>
              <w:t>1）雨水排放</w:t>
            </w:r>
          </w:p>
          <w:p>
            <w:pPr>
              <w:pStyle w:val="52"/>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b w:val="0"/>
                <w:bCs/>
                <w:color w:val="000000" w:themeColor="text1"/>
                <w:kern w:val="2"/>
                <w:sz w:val="24"/>
                <w:szCs w:val="24"/>
                <w:shd w:val="clear" w:color="auto" w:fill="auto"/>
                <w:lang w:val="en-US" w:eastAsia="zh-CN" w:bidi="ar-SA"/>
                <w14:textFill>
                  <w14:solidFill>
                    <w14:schemeClr w14:val="tx1"/>
                  </w14:solidFill>
                </w14:textFill>
              </w:rPr>
            </w:pPr>
            <w:r>
              <w:rPr>
                <w:rFonts w:hint="default" w:ascii="Times New Roman" w:hAnsi="Times New Roman" w:cs="Times New Roman"/>
                <w:b w:val="0"/>
                <w:bCs/>
                <w:color w:val="000000" w:themeColor="text1"/>
                <w:kern w:val="2"/>
                <w:sz w:val="24"/>
                <w:szCs w:val="24"/>
                <w:shd w:val="clear" w:color="auto" w:fill="auto"/>
                <w:lang w:val="en-US" w:eastAsia="zh-CN" w:bidi="ar-SA"/>
                <w14:textFill>
                  <w14:solidFill>
                    <w14:schemeClr w14:val="tx1"/>
                  </w14:solidFill>
                </w14:textFill>
              </w:rPr>
              <w:t>建筑物屋面雨水通过雨水斗收集，通过雨水立管引至地面雨水沟，站区场地雨水通过雨水口收集，通过室外埋地雨水管道排至站外。</w:t>
            </w:r>
          </w:p>
          <w:p>
            <w:pPr>
              <w:pStyle w:val="52"/>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b w:val="0"/>
                <w:bCs/>
                <w:color w:val="000000" w:themeColor="text1"/>
                <w:kern w:val="2"/>
                <w:sz w:val="24"/>
                <w:szCs w:val="24"/>
                <w:shd w:val="clear" w:color="auto" w:fill="auto"/>
                <w:lang w:val="en-US" w:eastAsia="zh-CN" w:bidi="ar-SA"/>
                <w14:textFill>
                  <w14:solidFill>
                    <w14:schemeClr w14:val="tx1"/>
                  </w14:solidFill>
                </w14:textFill>
              </w:rPr>
            </w:pPr>
            <w:r>
              <w:rPr>
                <w:rFonts w:hint="default" w:ascii="Times New Roman" w:hAnsi="Times New Roman" w:cs="Times New Roman"/>
                <w:b w:val="0"/>
                <w:bCs/>
                <w:color w:val="000000" w:themeColor="text1"/>
                <w:kern w:val="2"/>
                <w:sz w:val="24"/>
                <w:szCs w:val="24"/>
                <w:shd w:val="clear" w:color="auto" w:fill="auto"/>
                <w:lang w:val="en-US" w:eastAsia="zh-CN" w:bidi="ar-SA"/>
                <w14:textFill>
                  <w14:solidFill>
                    <w14:schemeClr w14:val="tx1"/>
                  </w14:solidFill>
                </w14:textFill>
              </w:rPr>
              <w:t>2）污水排放</w:t>
            </w:r>
          </w:p>
          <w:p>
            <w:pPr>
              <w:pStyle w:val="52"/>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b w:val="0"/>
                <w:bCs/>
                <w:color w:val="000000" w:themeColor="text1"/>
                <w:kern w:val="2"/>
                <w:sz w:val="24"/>
                <w:szCs w:val="24"/>
                <w:shd w:val="clear" w:color="auto" w:fill="auto"/>
                <w:lang w:val="en-US" w:eastAsia="zh-CN" w:bidi="ar-SA"/>
                <w14:textFill>
                  <w14:solidFill>
                    <w14:schemeClr w14:val="tx1"/>
                  </w14:solidFill>
                </w14:textFill>
              </w:rPr>
            </w:pPr>
            <w:r>
              <w:rPr>
                <w:rFonts w:hint="default" w:ascii="Times New Roman" w:hAnsi="Times New Roman" w:cs="Times New Roman"/>
                <w:b w:val="0"/>
                <w:bCs/>
                <w:color w:val="000000" w:themeColor="text1"/>
                <w:kern w:val="2"/>
                <w:sz w:val="24"/>
                <w:szCs w:val="24"/>
                <w:u w:val="single"/>
                <w:shd w:val="clear" w:color="auto" w:fill="auto"/>
                <w:lang w:val="en-US" w:eastAsia="zh-CN" w:bidi="ar-SA"/>
                <w14:textFill>
                  <w14:solidFill>
                    <w14:schemeClr w14:val="tx1"/>
                  </w14:solidFill>
                </w14:textFill>
              </w:rPr>
              <w:t>项目员工生活污水产生量按用水量的80%计，则生活污水产生量为105.12t/a、0.29t/d，产生量较少，生活污水经一体化污水处理设备</w:t>
            </w:r>
            <w:r>
              <w:rPr>
                <w:rFonts w:hint="eastAsia" w:cs="Times New Roman"/>
                <w:b w:val="0"/>
                <w:bCs/>
                <w:color w:val="000000" w:themeColor="text1"/>
                <w:kern w:val="2"/>
                <w:sz w:val="24"/>
                <w:szCs w:val="24"/>
                <w:u w:val="single"/>
                <w:shd w:val="clear" w:color="auto" w:fill="auto"/>
                <w:lang w:val="en-US" w:eastAsia="zh-CN" w:bidi="ar-SA"/>
                <w14:textFill>
                  <w14:solidFill>
                    <w14:schemeClr w14:val="tx1"/>
                  </w14:solidFill>
                </w14:textFill>
              </w:rPr>
              <w:t>（处理规模为1.0 t/d）</w:t>
            </w:r>
            <w:r>
              <w:rPr>
                <w:rFonts w:hint="default" w:ascii="Times New Roman" w:hAnsi="Times New Roman" w:cs="Times New Roman"/>
                <w:b w:val="0"/>
                <w:bCs/>
                <w:color w:val="000000" w:themeColor="text1"/>
                <w:kern w:val="2"/>
                <w:sz w:val="24"/>
                <w:szCs w:val="24"/>
                <w:u w:val="single"/>
                <w:shd w:val="clear" w:color="auto" w:fill="auto"/>
                <w:lang w:val="en-US" w:eastAsia="zh-CN" w:bidi="ar-SA"/>
                <w14:textFill>
                  <w14:solidFill>
                    <w14:schemeClr w14:val="tx1"/>
                  </w14:solidFill>
                </w14:textFill>
              </w:rPr>
              <w:t>处理后用于站内绿化，不外排。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6</w:t>
            </w:r>
            <w:r>
              <w:rPr>
                <w:rFonts w:hint="default" w:ascii="Times New Roman" w:hAnsi="Times New Roman" w:cs="Times New Roman"/>
                <w:b/>
                <w:color w:val="000000" w:themeColor="text1"/>
                <w:sz w:val="24"/>
                <w14:textFill>
                  <w14:solidFill>
                    <w14:schemeClr w14:val="tx1"/>
                  </w14:solidFill>
                </w14:textFill>
              </w:rPr>
              <w:t>、劳动定员及工作制度</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sz w:val="24"/>
                <w:u w:val="single"/>
                <w14:textFill>
                  <w14:solidFill>
                    <w14:schemeClr w14:val="tx1"/>
                  </w14:solidFill>
                </w14:textFill>
              </w:rPr>
              <w:t>项目运营期员工共</w:t>
            </w:r>
            <w:r>
              <w:rPr>
                <w:rFonts w:hint="default" w:ascii="Times New Roman" w:hAnsi="Times New Roman" w:cs="Times New Roman"/>
                <w:color w:val="000000" w:themeColor="text1"/>
                <w:sz w:val="24"/>
                <w:u w:val="single"/>
                <w:lang w:val="en-US" w:eastAsia="zh-CN"/>
                <w14:textFill>
                  <w14:solidFill>
                    <w14:schemeClr w14:val="tx1"/>
                  </w14:solidFill>
                </w14:textFill>
              </w:rPr>
              <w:t>4</w:t>
            </w:r>
            <w:r>
              <w:rPr>
                <w:rFonts w:hint="default" w:ascii="Times New Roman" w:hAnsi="Times New Roman" w:eastAsia="宋体" w:cs="Times New Roman"/>
                <w:color w:val="000000" w:themeColor="text1"/>
                <w:sz w:val="24"/>
                <w:u w:val="single"/>
                <w14:textFill>
                  <w14:solidFill>
                    <w14:schemeClr w14:val="tx1"/>
                  </w14:solidFill>
                </w14:textFill>
              </w:rPr>
              <w:t>人，均在项目升压站内食宿，年工作365 天，光伏电站项目运营期劳动定员含于本升压站工程劳动定员</w:t>
            </w:r>
            <w:r>
              <w:rPr>
                <w:rFonts w:hint="default" w:ascii="Times New Roman" w:hAnsi="Times New Roman" w:cs="Times New Roman"/>
                <w:color w:val="000000" w:themeColor="text1"/>
                <w:sz w:val="24"/>
                <w:u w:val="single"/>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总平面及现场布置</w:t>
            </w:r>
          </w:p>
        </w:tc>
        <w:tc>
          <w:tcPr>
            <w:tcW w:w="459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1、升压站平面布置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升压站呈矩形布置，长</w:t>
            </w:r>
            <w:r>
              <w:rPr>
                <w:rFonts w:hint="default" w:ascii="Times New Roman" w:hAnsi="Times New Roman" w:cs="Times New Roman"/>
                <w:color w:val="000000" w:themeColor="text1"/>
                <w:sz w:val="24"/>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00m，宽</w:t>
            </w:r>
            <w:r>
              <w:rPr>
                <w:rFonts w:hint="default" w:ascii="Times New Roman" w:hAnsi="Times New Roman" w:cs="Times New Roman"/>
                <w:color w:val="000000" w:themeColor="text1"/>
                <w:sz w:val="24"/>
                <w:highlight w:val="none"/>
                <w:lang w:val="en-US" w:eastAsia="zh-CN"/>
                <w14:textFill>
                  <w14:solidFill>
                    <w14:schemeClr w14:val="tx1"/>
                  </w14:solidFill>
                </w14:textFill>
              </w:rPr>
              <w:t>80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.00m，升压站围墙内用地面积为</w:t>
            </w:r>
            <w:r>
              <w:rPr>
                <w:rFonts w:hint="default" w:ascii="Times New Roman" w:hAnsi="Times New Roman" w:cs="Times New Roman"/>
                <w:color w:val="000000" w:themeColor="text1"/>
                <w:sz w:val="24"/>
                <w:highlight w:val="none"/>
                <w:lang w:val="en-US" w:eastAsia="zh-CN"/>
                <w14:textFill>
                  <w14:solidFill>
                    <w14:schemeClr w14:val="tx1"/>
                  </w14:solidFill>
                </w14:textFill>
              </w:rPr>
              <w:t>8000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.00m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。根据GB50229-2019《火力发电厂与变电所设计防火标准》、DL/T5056-2007《变电所总布置设计技术规程》以及本项目气象、地形地质条件、配电要求。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升压站站区生产、生活分离，站区共设置一座电动伸缩大门，两座钢大门；升压站站区分为三个主要区域，电气一次、二次联合预制舱、主变压器、GIS构架、事故油池、备用变和独立避雷针</w:t>
            </w:r>
            <w:r>
              <w:rPr>
                <w:rFonts w:hint="eastAsia" w:cs="Times New Roman"/>
                <w:color w:val="000000" w:themeColor="text1"/>
                <w:sz w:val="24"/>
                <w:highlight w:val="none"/>
                <w:lang w:val="en-US" w:eastAsia="zh-CN"/>
                <w14:textFill>
                  <w14:solidFill>
                    <w14:schemeClr w14:val="tx1"/>
                  </w14:solidFill>
                </w14:textFill>
              </w:rPr>
              <w:t>、危险废物暂存间</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等规划布置于站区西北部；</w:t>
            </w:r>
            <w:r>
              <w:rPr>
                <w:rFonts w:hint="default" w:ascii="Times New Roman" w:hAnsi="Times New Roman" w:cs="Times New Roman"/>
                <w:color w:val="000000" w:themeColor="text1"/>
                <w:sz w:val="24"/>
                <w:highlight w:val="none"/>
                <w:lang w:val="en-US" w:eastAsia="zh-CN"/>
                <w14:textFill>
                  <w14:solidFill>
                    <w14:schemeClr w14:val="tx1"/>
                  </w14:solidFill>
                </w14:textFill>
              </w:rPr>
              <w:t>综合楼</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污水处理装置和附属用房规划布置站区南部；FC支路和备用变等自东北向西南依次规划布置于生产区东南侧围墙边；本工程升压站进站道路从站区中部的原有道路上引接，长约150m；出线方向为北出线；站区主干道呈环形布置，满足消防及运行维护的需求。升压站四周设置2.3m高的混凝土砌块围墙，长3</w:t>
            </w:r>
            <w:r>
              <w:rPr>
                <w:rFonts w:hint="default" w:ascii="Times New Roman" w:hAnsi="Times New Roman" w:cs="Times New Roman"/>
                <w:color w:val="000000" w:themeColor="text1"/>
                <w:sz w:val="24"/>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.0m。升压站总体布置分区明确，美观实用。建(构)筑物布置紧凑，占地少，经济合理。</w:t>
            </w: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升压站</w:t>
            </w:r>
            <w:r>
              <w:rPr>
                <w:rFonts w:hint="default" w:ascii="Times New Roman" w:hAnsi="Times New Roman" w:eastAsia="宋体" w:cs="Times New Roman"/>
                <w:color w:val="000000" w:themeColor="text1"/>
                <w:sz w:val="24"/>
                <w:szCs w:val="24"/>
                <w14:textFill>
                  <w14:solidFill>
                    <w14:schemeClr w14:val="tx1"/>
                  </w14:solidFill>
                </w14:textFill>
              </w:rPr>
              <w:t>总平面布置见附图</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2、施工现场布置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本项目与光伏区共用的施工管理及生活区占地面积4000m</w:t>
            </w:r>
            <w:r>
              <w:rPr>
                <w:rFonts w:hint="default" w:ascii="Times New Roman" w:hAnsi="Times New Roman" w:cs="Times New Roman"/>
                <w:b w:val="0"/>
                <w:bCs w:val="0"/>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，施工营地全部在升压站用地范围内。施工营地主要用于部分施工人员住宿、物料暂存、设备堆放，施工营地内不设置混凝土拌合站、</w:t>
            </w:r>
            <w:r>
              <w:rPr>
                <w:rFonts w:hint="default" w:ascii="Times New Roman" w:hAnsi="Times New Roman" w:cs="Times New Roman"/>
                <w:color w:val="000000" w:themeColor="text1"/>
                <w:sz w:val="24"/>
                <w:szCs w:val="32"/>
                <w14:textFill>
                  <w14:solidFill>
                    <w14:schemeClr w14:val="tx1"/>
                  </w14:solidFill>
                </w14:textFill>
              </w:rPr>
              <w:t>砂石料生产系统</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40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施工方案</w:t>
            </w:r>
          </w:p>
        </w:tc>
        <w:tc>
          <w:tcPr>
            <w:tcW w:w="4590" w:type="pct"/>
            <w:noWrap w:val="0"/>
            <w:vAlign w:val="center"/>
          </w:tcPr>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000000" w:themeColor="text1"/>
                <w:kern w:val="0"/>
                <w:sz w:val="24"/>
                <w:lang w:val="en-US" w:eastAsia="zh-CN"/>
                <w14:textFill>
                  <w14:solidFill>
                    <w14:schemeClr w14:val="tx1"/>
                  </w14:solidFill>
                </w14:textFill>
              </w:rPr>
            </w:pPr>
            <w:r>
              <w:rPr>
                <w:rFonts w:hint="default" w:ascii="Times New Roman" w:hAnsi="Times New Roman" w:cs="Times New Roman"/>
                <w:b/>
                <w:bCs/>
                <w:color w:val="000000" w:themeColor="text1"/>
                <w:kern w:val="0"/>
                <w:sz w:val="24"/>
                <w:lang w:val="en-US" w:eastAsia="zh-CN"/>
                <w14:textFill>
                  <w14:solidFill>
                    <w14:schemeClr w14:val="tx1"/>
                  </w14:solidFill>
                </w14:textFill>
              </w:rPr>
              <w:t>1、施工工艺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lang w:val="en-US" w:eastAsia="zh-CN"/>
                <w14:textFill>
                  <w14:solidFill>
                    <w14:schemeClr w14:val="tx1"/>
                  </w14:solidFill>
                </w14:textFill>
              </w:rPr>
              <w:t>升压站施工工艺主要包括施工准备、</w:t>
            </w:r>
            <w:r>
              <w:rPr>
                <w:rFonts w:hint="default" w:ascii="Times New Roman" w:hAnsi="Times New Roman" w:cs="Times New Roman"/>
                <w:color w:val="000000" w:themeColor="text1"/>
                <w:kern w:val="0"/>
                <w:sz w:val="24"/>
                <w:highlight w:val="none"/>
                <w14:textFill>
                  <w14:solidFill>
                    <w14:schemeClr w14:val="tx1"/>
                  </w14:solidFill>
                </w14:textFill>
              </w:rPr>
              <w:t>基础开挖、浇筑</w:t>
            </w:r>
            <w:r>
              <w:rPr>
                <w:rFonts w:hint="default" w:ascii="Times New Roman" w:hAnsi="Times New Roman" w:cs="Times New Roman"/>
                <w:color w:val="000000" w:themeColor="text1"/>
                <w:kern w:val="0"/>
                <w:sz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highlight w:val="none"/>
                <w14:textFill>
                  <w14:solidFill>
                    <w14:schemeClr w14:val="tx1"/>
                  </w14:solidFill>
                </w14:textFill>
              </w:rPr>
              <w:t>构筑物建设</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及</w:t>
            </w:r>
            <w:r>
              <w:rPr>
                <w:rFonts w:hint="default" w:ascii="Times New Roman" w:hAnsi="Times New Roman" w:cs="Times New Roman"/>
                <w:color w:val="000000" w:themeColor="text1"/>
                <w:kern w:val="0"/>
                <w:sz w:val="24"/>
                <w:highlight w:val="none"/>
                <w14:textFill>
                  <w14:solidFill>
                    <w14:schemeClr w14:val="tx1"/>
                  </w14:solidFill>
                </w14:textFill>
              </w:rPr>
              <w:t>电气设备安装</w:t>
            </w:r>
            <w:r>
              <w:rPr>
                <w:rFonts w:hint="default" w:ascii="Times New Roman" w:hAnsi="Times New Roman" w:cs="Times New Roman"/>
                <w:color w:val="000000" w:themeColor="text1"/>
                <w:kern w:val="0"/>
                <w:sz w:val="24"/>
                <w:highlight w:val="none"/>
                <w:lang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1）施工准备：对升压站场地进行平整，采用推土机配合人工清理，使场地达到设计要求。</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2）基础开挖、浇筑：升压站区地基处理，包括土石方工程、桩基础工程、支护工程等。</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3）构筑物建设：本工程部分建筑物采用预制舱方案，只需采用吊装安装即可。砖混构筑物施工顺序为：施工准备→场地平整、碾压→基础开挖→基础混凝土浇筑→混凝土框架浇筑→地板及顶板混凝土浇筑→砖墙垒起→电气管线敷设及室内外装修→电气设备入室→室内外装修及给排水系统施工在土建专业施工时，电气专业技术人员应到现场配合土建施工，做好预埋件、预留孔洞、过路电缆预埋管、接地网的施工</w:t>
            </w:r>
            <w:r>
              <w:rPr>
                <w:rFonts w:hint="default" w:ascii="Times New Roman" w:hAnsi="Times New Roman" w:cs="Times New Roman"/>
                <w:color w:val="000000" w:themeColor="text1"/>
                <w:kern w:val="0"/>
                <w:sz w:val="24"/>
                <w:highlight w:val="none"/>
                <w:lang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4）电气设备安装：变压器建筑安装工程、电缆敷设、电气设备的安装调试、系统的并网运行调试等内容。</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项目升压站施工工艺流程及产污节点见图2-</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1</w:t>
            </w:r>
            <w:r>
              <w:rPr>
                <w:rFonts w:hint="default" w:ascii="Times New Roman" w:hAnsi="Times New Roman" w:cs="Times New Roman"/>
                <w:color w:val="000000" w:themeColor="text1"/>
                <w:kern w:val="0"/>
                <w:sz w:val="24"/>
                <w:highlight w:val="none"/>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sz w:val="20"/>
                <w:szCs w:val="20"/>
                <w14:textFill>
                  <w14:solidFill>
                    <w14:schemeClr w14:val="tx1"/>
                  </w14:solidFill>
                </w14:textFill>
              </w:rPr>
              <w:drawing>
                <wp:inline distT="0" distB="0" distL="114300" distR="114300">
                  <wp:extent cx="1737995" cy="2726055"/>
                  <wp:effectExtent l="0" t="0" r="14605" b="17145"/>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11"/>
                          <a:stretch>
                            <a:fillRect/>
                          </a:stretch>
                        </pic:blipFill>
                        <pic:spPr>
                          <a:xfrm>
                            <a:off x="0" y="0"/>
                            <a:ext cx="1737995" cy="272605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注：W-废水G-废气N-噪声S-固体废物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图2-</w:t>
            </w: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 xml:space="preserve"> 升压站施工工艺流程及产污节点示意图</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2、施工时序、建设周期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本工程拟定于2023 年5月开工建设，至2023 年8 月工程全部建成，总工期为4个月。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72" w:hRule="atLeast"/>
          <w:jc w:val="center"/>
        </w:trPr>
        <w:tc>
          <w:tcPr>
            <w:tcW w:w="40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其他</w:t>
            </w:r>
          </w:p>
        </w:tc>
        <w:tc>
          <w:tcPr>
            <w:tcW w:w="4590"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在运行期，变电工程的功能是变化电压等级、汇集配送电能。变电过程中，只存在电压的变化和和电流传输现象，没有其他生产活动存在，整个过程中无原材料、中间产品、副产品、产品存在，也不存在产品的生产过程。电荷或者带导体周围存在电场，有规则运动的电荷或者流过电流的导体周围存在着磁场，因此变电工程在运行期由于输电过程将产生工频电场、工频磁场以及</w:t>
            </w:r>
            <w:r>
              <w:rPr>
                <w:rFonts w:hint="default" w:ascii="Times New Roman" w:hAnsi="Times New Roman" w:cs="Times New Roman"/>
                <w:color w:val="000000" w:themeColor="text1"/>
                <w:sz w:val="24"/>
                <w:szCs w:val="24"/>
                <w:lang w:eastAsia="zh-CN"/>
                <w14:textFill>
                  <w14:solidFill>
                    <w14:schemeClr w14:val="tx1"/>
                  </w14:solidFill>
                </w14:textFill>
              </w:rPr>
              <w:t>设备运行时产生的</w:t>
            </w:r>
            <w:r>
              <w:rPr>
                <w:rFonts w:hint="default" w:ascii="Times New Roman" w:hAnsi="Times New Roman" w:eastAsia="宋体" w:cs="Times New Roman"/>
                <w:color w:val="000000" w:themeColor="text1"/>
                <w:sz w:val="24"/>
                <w:szCs w:val="24"/>
                <w14:textFill>
                  <w14:solidFill>
                    <w14:schemeClr w14:val="tx1"/>
                  </w14:solidFill>
                </w14:textFill>
              </w:rPr>
              <w:t>噪声。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升压站内设</w:t>
            </w:r>
            <w:r>
              <w:rPr>
                <w:rFonts w:hint="default" w:ascii="Times New Roman" w:hAnsi="Times New Roman" w:cs="Times New Roman"/>
                <w:color w:val="000000" w:themeColor="text1"/>
                <w:sz w:val="24"/>
                <w:szCs w:val="24"/>
                <w:lang w:val="en-US" w:eastAsia="zh-CN"/>
                <w14:textFill>
                  <w14:solidFill>
                    <w14:schemeClr w14:val="tx1"/>
                  </w14:solidFill>
                </w14:textFill>
              </w:rPr>
              <w:t>综合楼</w:t>
            </w:r>
            <w:r>
              <w:rPr>
                <w:rFonts w:hint="default" w:ascii="Times New Roman" w:hAnsi="Times New Roman" w:eastAsia="宋体" w:cs="Times New Roman"/>
                <w:color w:val="000000" w:themeColor="text1"/>
                <w:sz w:val="24"/>
                <w:szCs w:val="24"/>
                <w14:textFill>
                  <w14:solidFill>
                    <w14:schemeClr w14:val="tx1"/>
                  </w14:solidFill>
                </w14:textFill>
              </w:rPr>
              <w:t>，具有办公、生活、食堂等配套设施。项目运营期间废气</w:t>
            </w:r>
            <w:r>
              <w:rPr>
                <w:rFonts w:hint="default" w:ascii="Times New Roman" w:hAnsi="Times New Roman" w:cs="Times New Roman"/>
                <w:color w:val="000000" w:themeColor="text1"/>
                <w:sz w:val="24"/>
                <w:szCs w:val="24"/>
                <w:lang w:val="en-US" w:eastAsia="zh-CN"/>
                <w14:textFill>
                  <w14:solidFill>
                    <w14:schemeClr w14:val="tx1"/>
                  </w14:solidFill>
                </w14:textFill>
              </w:rPr>
              <w:t>主要为食堂油烟</w:t>
            </w:r>
            <w:r>
              <w:rPr>
                <w:rFonts w:hint="default" w:ascii="Times New Roman" w:hAnsi="Times New Roman" w:eastAsia="宋体" w:cs="Times New Roman"/>
                <w:color w:val="000000" w:themeColor="text1"/>
                <w:sz w:val="24"/>
                <w:szCs w:val="24"/>
                <w14:textFill>
                  <w14:solidFill>
                    <w14:schemeClr w14:val="tx1"/>
                  </w14:solidFill>
                </w14:textFill>
              </w:rPr>
              <w:t>，废水主要为升压站员工生活污水，另外，设备维护检修过程会产生少量废铅酸蓄电池及废</w:t>
            </w:r>
            <w:r>
              <w:rPr>
                <w:rFonts w:hint="eastAsia" w:cs="Times New Roman"/>
                <w:color w:val="000000" w:themeColor="text1"/>
                <w:sz w:val="24"/>
                <w:szCs w:val="24"/>
                <w:lang w:eastAsia="zh-CN"/>
                <w14:textFill>
                  <w14:solidFill>
                    <w14:schemeClr w14:val="tx1"/>
                  </w14:solidFill>
                </w14:textFill>
              </w:rPr>
              <w:t>变压器</w:t>
            </w:r>
            <w:r>
              <w:rPr>
                <w:rFonts w:hint="default" w:ascii="Times New Roman" w:hAnsi="Times New Roman" w:eastAsia="宋体" w:cs="Times New Roman"/>
                <w:color w:val="000000" w:themeColor="text1"/>
                <w:sz w:val="24"/>
                <w:szCs w:val="24"/>
                <w14:textFill>
                  <w14:solidFill>
                    <w14:schemeClr w14:val="tx1"/>
                  </w14:solidFill>
                </w14:textFill>
              </w:rPr>
              <w:t>油</w:t>
            </w:r>
            <w:r>
              <w:rPr>
                <w:rFonts w:hint="default" w:ascii="Times New Roman" w:hAnsi="Times New Roman" w:cs="Times New Roman"/>
                <w:color w:val="000000" w:themeColor="text1"/>
                <w:sz w:val="24"/>
                <w:szCs w:val="24"/>
                <w:lang w:val="en-US" w:eastAsia="zh-CN"/>
                <w14:textFill>
                  <w14:solidFill>
                    <w14:schemeClr w14:val="tx1"/>
                  </w14:solidFill>
                </w14:textFill>
              </w:rPr>
              <w:t>及职工生活垃圾</w:t>
            </w:r>
            <w:r>
              <w:rPr>
                <w:rFonts w:hint="default" w:ascii="Times New Roman" w:hAnsi="Times New Roman" w:eastAsia="宋体" w:cs="Times New Roman"/>
                <w:color w:val="000000" w:themeColor="text1"/>
                <w:sz w:val="24"/>
                <w:szCs w:val="24"/>
                <w14:textFill>
                  <w14:solidFill>
                    <w14:schemeClr w14:val="tx1"/>
                  </w14:solidFill>
                </w14:textFill>
              </w:rPr>
              <w:t>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项目运营期工艺产污环节一览表见下表。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表2-</w:t>
            </w: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 xml:space="preserve"> 项目运营期工艺产污环节一览表</w:t>
            </w:r>
          </w:p>
          <w:tbl>
            <w:tblPr>
              <w:tblStyle w:val="22"/>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40"/>
              <w:gridCol w:w="1373"/>
              <w:gridCol w:w="1251"/>
              <w:gridCol w:w="1122"/>
              <w:gridCol w:w="32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590"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zh-CN" w:eastAsia="zh-CN" w:bidi="zh-CN"/>
                      <w14:textFill>
                        <w14:solidFill>
                          <w14:schemeClr w14:val="tx1"/>
                        </w14:solidFill>
                      </w14:textFill>
                    </w:rPr>
                    <w:t>污染类型</w:t>
                  </w:r>
                </w:p>
              </w:tc>
              <w:tc>
                <w:tcPr>
                  <w:tcW w:w="8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zh-CN" w:eastAsia="zh-CN" w:bidi="zh-CN"/>
                      <w14:textFill>
                        <w14:solidFill>
                          <w14:schemeClr w14:val="tx1"/>
                        </w14:solidFill>
                      </w14:textFill>
                    </w:rPr>
                    <w:t>排污节点</w:t>
                  </w:r>
                </w:p>
              </w:tc>
              <w:tc>
                <w:tcPr>
                  <w:tcW w:w="785"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zh-CN" w:eastAsia="zh-CN" w:bidi="zh-CN"/>
                      <w14:textFill>
                        <w14:solidFill>
                          <w14:schemeClr w14:val="tx1"/>
                        </w14:solidFill>
                      </w14:textFill>
                    </w:rPr>
                    <w:t>主要污染物</w:t>
                  </w:r>
                </w:p>
              </w:tc>
              <w:tc>
                <w:tcPr>
                  <w:tcW w:w="704"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zh-CN" w:eastAsia="zh-CN" w:bidi="zh-CN"/>
                      <w14:textFill>
                        <w14:solidFill>
                          <w14:schemeClr w14:val="tx1"/>
                        </w14:solidFill>
                      </w14:textFill>
                    </w:rPr>
                    <w:t>排放特征</w:t>
                  </w:r>
                </w:p>
              </w:tc>
              <w:tc>
                <w:tcPr>
                  <w:tcW w:w="2057"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zh-CN" w:eastAsia="zh-CN" w:bidi="zh-CN"/>
                      <w14:textFill>
                        <w14:solidFill>
                          <w14:schemeClr w14:val="tx1"/>
                        </w14:solidFill>
                      </w14:textFill>
                    </w:rPr>
                    <w:t>治理措施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u w:val="single"/>
                      <w:lang w:val="en-US"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zh-CN"/>
                      <w14:textFill>
                        <w14:solidFill>
                          <w14:schemeClr w14:val="tx1"/>
                        </w14:solidFill>
                      </w14:textFill>
                    </w:rPr>
                    <w:t>废气</w:t>
                  </w:r>
                </w:p>
              </w:tc>
              <w:tc>
                <w:tcPr>
                  <w:tcW w:w="8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u w:val="single"/>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zh-CN" w:eastAsia="zh-CN" w:bidi="zh-CN"/>
                      <w14:textFill>
                        <w14:solidFill>
                          <w14:schemeClr w14:val="tx1"/>
                        </w14:solidFill>
                      </w14:textFill>
                    </w:rPr>
                    <w:t>食堂油烟</w:t>
                  </w:r>
                </w:p>
              </w:tc>
              <w:tc>
                <w:tcPr>
                  <w:tcW w:w="785"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u w:val="single"/>
                      <w:lang w:val="zh-CN" w:eastAsia="zh-CN" w:bidi="zh-CN"/>
                      <w14:textFill>
                        <w14:solidFill>
                          <w14:schemeClr w14:val="tx1"/>
                        </w14:solidFill>
                      </w14:textFill>
                    </w:rPr>
                  </w:pPr>
                  <w:r>
                    <w:rPr>
                      <w:rFonts w:hint="default" w:ascii="Times New Roman" w:hAnsi="Times New Roman" w:cs="Times New Roman"/>
                      <w:color w:val="000000" w:themeColor="text1"/>
                      <w:kern w:val="2"/>
                      <w:sz w:val="21"/>
                      <w:szCs w:val="21"/>
                      <w:u w:val="single"/>
                      <w:lang w:val="zh-CN" w:eastAsia="zh-CN" w:bidi="zh-CN"/>
                      <w14:textFill>
                        <w14:solidFill>
                          <w14:schemeClr w14:val="tx1"/>
                        </w14:solidFill>
                      </w14:textFill>
                    </w:rPr>
                    <w:t>油烟</w:t>
                  </w:r>
                </w:p>
              </w:tc>
              <w:tc>
                <w:tcPr>
                  <w:tcW w:w="704"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u w:val="single"/>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zh-CN" w:eastAsia="zh-CN" w:bidi="zh-CN"/>
                      <w14:textFill>
                        <w14:solidFill>
                          <w14:schemeClr w14:val="tx1"/>
                        </w14:solidFill>
                      </w14:textFill>
                    </w:rPr>
                    <w:t>间断</w:t>
                  </w:r>
                </w:p>
              </w:tc>
              <w:tc>
                <w:tcPr>
                  <w:tcW w:w="2057"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u w:val="single"/>
                      <w:lang w:val="zh-CN" w:eastAsia="zh-CN" w:bidi="zh-CN"/>
                      <w14:textFill>
                        <w14:solidFill>
                          <w14:schemeClr w14:val="tx1"/>
                        </w14:solidFill>
                      </w14:textFill>
                    </w:rPr>
                  </w:pPr>
                  <w:r>
                    <w:rPr>
                      <w:rFonts w:hint="default" w:ascii="Times New Roman" w:hAnsi="Times New Roman" w:cs="Times New Roman"/>
                      <w:color w:val="000000" w:themeColor="text1"/>
                      <w:kern w:val="2"/>
                      <w:sz w:val="21"/>
                      <w:szCs w:val="21"/>
                      <w:u w:val="single"/>
                      <w:lang w:val="zh-CN" w:eastAsia="zh-CN" w:bidi="zh-CN"/>
                      <w14:textFill>
                        <w14:solidFill>
                          <w14:schemeClr w14:val="tx1"/>
                        </w14:solidFill>
                      </w14:textFill>
                    </w:rPr>
                    <w:t>产生量少，经油烟净化设备处理后排放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590"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u w:val="single"/>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zh-CN" w:eastAsia="zh-CN" w:bidi="zh-CN"/>
                      <w14:textFill>
                        <w14:solidFill>
                          <w14:schemeClr w14:val="tx1"/>
                        </w14:solidFill>
                      </w14:textFill>
                    </w:rPr>
                    <w:t>废水</w:t>
                  </w:r>
                </w:p>
              </w:tc>
              <w:tc>
                <w:tcPr>
                  <w:tcW w:w="8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u w:val="single"/>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zh-CN" w:eastAsia="zh-CN" w:bidi="zh-CN"/>
                      <w14:textFill>
                        <w14:solidFill>
                          <w14:schemeClr w14:val="tx1"/>
                        </w14:solidFill>
                      </w14:textFill>
                    </w:rPr>
                    <w:t>职工</w:t>
                  </w:r>
                  <w:r>
                    <w:rPr>
                      <w:rFonts w:hint="default" w:ascii="Times New Roman" w:hAnsi="Times New Roman" w:eastAsia="宋体" w:cs="Times New Roman"/>
                      <w:color w:val="000000" w:themeColor="text1"/>
                      <w:kern w:val="2"/>
                      <w:sz w:val="21"/>
                      <w:szCs w:val="21"/>
                      <w:u w:val="single"/>
                      <w:lang w:val="en-US" w:eastAsia="zh-CN" w:bidi="zh-CN"/>
                      <w14:textFill>
                        <w14:solidFill>
                          <w14:schemeClr w14:val="tx1"/>
                        </w14:solidFill>
                      </w14:textFill>
                    </w:rPr>
                    <w:t>生活污</w:t>
                  </w:r>
                  <w:r>
                    <w:rPr>
                      <w:rFonts w:hint="default" w:ascii="Times New Roman" w:hAnsi="Times New Roman" w:eastAsia="宋体" w:cs="Times New Roman"/>
                      <w:color w:val="000000" w:themeColor="text1"/>
                      <w:kern w:val="2"/>
                      <w:sz w:val="21"/>
                      <w:szCs w:val="21"/>
                      <w:u w:val="single"/>
                      <w:lang w:val="zh-CN" w:eastAsia="zh-CN" w:bidi="zh-CN"/>
                      <w14:textFill>
                        <w14:solidFill>
                          <w14:schemeClr w14:val="tx1"/>
                        </w14:solidFill>
                      </w14:textFill>
                    </w:rPr>
                    <w:t>水</w:t>
                  </w:r>
                </w:p>
              </w:tc>
              <w:tc>
                <w:tcPr>
                  <w:tcW w:w="785"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u w:val="single"/>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zh-CN" w:eastAsia="zh-CN" w:bidi="zh-CN"/>
                      <w14:textFill>
                        <w14:solidFill>
                          <w14:schemeClr w14:val="tx1"/>
                        </w14:solidFill>
                      </w14:textFill>
                    </w:rPr>
                    <w:t>COD、BOD</w:t>
                  </w:r>
                  <w:r>
                    <w:rPr>
                      <w:rFonts w:hint="default" w:ascii="Times New Roman" w:hAnsi="Times New Roman" w:eastAsia="宋体" w:cs="Times New Roman"/>
                      <w:color w:val="000000" w:themeColor="text1"/>
                      <w:kern w:val="2"/>
                      <w:sz w:val="21"/>
                      <w:szCs w:val="21"/>
                      <w:u w:val="single"/>
                      <w:vertAlign w:val="subscript"/>
                      <w:lang w:val="zh-CN" w:eastAsia="zh-CN" w:bidi="zh-CN"/>
                      <w14:textFill>
                        <w14:solidFill>
                          <w14:schemeClr w14:val="tx1"/>
                        </w14:solidFill>
                      </w14:textFill>
                    </w:rPr>
                    <w:t>5</w:t>
                  </w:r>
                  <w:r>
                    <w:rPr>
                      <w:rFonts w:hint="default" w:ascii="Times New Roman" w:hAnsi="Times New Roman" w:eastAsia="宋体" w:cs="Times New Roman"/>
                      <w:color w:val="000000" w:themeColor="text1"/>
                      <w:kern w:val="2"/>
                      <w:sz w:val="21"/>
                      <w:szCs w:val="21"/>
                      <w:u w:val="single"/>
                      <w:lang w:val="zh-CN" w:eastAsia="zh-CN" w:bidi="zh-CN"/>
                      <w14:textFill>
                        <w14:solidFill>
                          <w14:schemeClr w14:val="tx1"/>
                        </w14:solidFill>
                      </w14:textFill>
                    </w:rPr>
                    <w:t>、</w:t>
                  </w:r>
                </w:p>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u w:val="single"/>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zh-CN" w:eastAsia="zh-CN" w:bidi="zh-CN"/>
                      <w14:textFill>
                        <w14:solidFill>
                          <w14:schemeClr w14:val="tx1"/>
                        </w14:solidFill>
                      </w14:textFill>
                    </w:rPr>
                    <w:t>SS、氨氮、动 植物油</w:t>
                  </w:r>
                </w:p>
              </w:tc>
              <w:tc>
                <w:tcPr>
                  <w:tcW w:w="704" w:type="pct"/>
                  <w:noWrap w:val="0"/>
                  <w:vAlign w:val="center"/>
                </w:tcPr>
                <w:p>
                  <w:pPr>
                    <w:pStyle w:val="53"/>
                    <w:keepNext w:val="0"/>
                    <w:keepLines w:val="0"/>
                    <w:pageBreakBefore w:val="0"/>
                    <w:widowControl w:val="0"/>
                    <w:suppressLineNumbers w:val="0"/>
                    <w:tabs>
                      <w:tab w:val="left" w:pos="320"/>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u w:val="single"/>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zh-CN" w:eastAsia="zh-CN" w:bidi="zh-CN"/>
                      <w14:textFill>
                        <w14:solidFill>
                          <w14:schemeClr w14:val="tx1"/>
                        </w14:solidFill>
                      </w14:textFill>
                    </w:rPr>
                    <w:t>间断</w:t>
                  </w:r>
                </w:p>
              </w:tc>
              <w:tc>
                <w:tcPr>
                  <w:tcW w:w="2057"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u w:val="single"/>
                      <w:lang w:val="zh-CN" w:eastAsia="zh-CN" w:bidi="zh-CN"/>
                      <w14:textFill>
                        <w14:solidFill>
                          <w14:schemeClr w14:val="tx1"/>
                        </w14:solidFill>
                      </w14:textFill>
                    </w:rPr>
                  </w:pPr>
                  <w:r>
                    <w:rPr>
                      <w:rFonts w:hint="default" w:ascii="Times New Roman" w:hAnsi="Times New Roman" w:cs="Times New Roman"/>
                      <w:color w:val="000000" w:themeColor="text1"/>
                      <w:kern w:val="2"/>
                      <w:sz w:val="21"/>
                      <w:szCs w:val="21"/>
                      <w:u w:val="single"/>
                      <w:shd w:val="clear" w:color="auto" w:fill="auto"/>
                      <w:lang w:val="en-US" w:eastAsia="zh-CN" w:bidi="ar-SA"/>
                      <w14:textFill>
                        <w14:solidFill>
                          <w14:schemeClr w14:val="tx1"/>
                        </w14:solidFill>
                      </w14:textFill>
                    </w:rPr>
                    <w:t>生活污水经一体化污水处理设备处理后用于站内绿化，不外排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590"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t>噪声</w:t>
                  </w:r>
                </w:p>
              </w:tc>
              <w:tc>
                <w:tcPr>
                  <w:tcW w:w="8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t>变压器等设备</w:t>
                  </w:r>
                </w:p>
              </w:tc>
              <w:tc>
                <w:tcPr>
                  <w:tcW w:w="785"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t>噪声</w:t>
                  </w:r>
                </w:p>
              </w:tc>
              <w:tc>
                <w:tcPr>
                  <w:tcW w:w="704"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t>连续</w:t>
                  </w:r>
                </w:p>
              </w:tc>
              <w:tc>
                <w:tcPr>
                  <w:tcW w:w="2057"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t>优先选用低噪声设备，合理布置，采取设备基础减振等降噪措施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59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zh-CN"/>
                      <w14:textFill>
                        <w14:solidFill>
                          <w14:schemeClr w14:val="tx1"/>
                        </w14:solidFill>
                      </w14:textFill>
                    </w:rPr>
                    <w:t>固废</w:t>
                  </w:r>
                </w:p>
              </w:tc>
              <w:tc>
                <w:tcPr>
                  <w:tcW w:w="8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t>升压站</w:t>
                  </w:r>
                </w:p>
              </w:tc>
              <w:tc>
                <w:tcPr>
                  <w:tcW w:w="785"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t>废蓄电池</w:t>
                  </w:r>
                </w:p>
              </w:tc>
              <w:tc>
                <w:tcPr>
                  <w:tcW w:w="704"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t>间断</w:t>
                  </w:r>
                </w:p>
              </w:tc>
              <w:tc>
                <w:tcPr>
                  <w:tcW w:w="2057" w:type="pct"/>
                  <w:vMerge w:val="restar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cs="Times New Roman"/>
                      <w:color w:val="000000" w:themeColor="text1"/>
                      <w:kern w:val="2"/>
                      <w:sz w:val="21"/>
                      <w:szCs w:val="21"/>
                      <w:lang w:val="zh-CN" w:eastAsia="zh-CN" w:bidi="zh-CN"/>
                      <w14:textFill>
                        <w14:solidFill>
                          <w14:schemeClr w14:val="tx1"/>
                        </w14:solidFill>
                      </w14:textFill>
                    </w:rPr>
                    <w:t>废蓄电池收集后</w:t>
                  </w:r>
                  <w:r>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t>暂存于危废暂存间，</w:t>
                  </w:r>
                  <w:r>
                    <w:rPr>
                      <w:rFonts w:hint="default" w:ascii="Times New Roman" w:hAnsi="Times New Roman" w:cs="Times New Roman"/>
                      <w:color w:val="000000" w:themeColor="text1"/>
                      <w:kern w:val="2"/>
                      <w:sz w:val="21"/>
                      <w:szCs w:val="21"/>
                      <w:lang w:val="zh-CN" w:eastAsia="zh-CN" w:bidi="zh-CN"/>
                      <w14:textFill>
                        <w14:solidFill>
                          <w14:schemeClr w14:val="tx1"/>
                        </w14:solidFill>
                      </w14:textFill>
                    </w:rPr>
                    <w:t>废变压器油收集于事故油池，</w:t>
                  </w:r>
                  <w:r>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t>最后交由有危废处理资质的单位集中处置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p>
              </w:tc>
              <w:tc>
                <w:tcPr>
                  <w:tcW w:w="8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t>变压器（事故）</w:t>
                  </w:r>
                </w:p>
              </w:tc>
              <w:tc>
                <w:tcPr>
                  <w:tcW w:w="785"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t>废变压器油</w:t>
                  </w:r>
                </w:p>
              </w:tc>
              <w:tc>
                <w:tcPr>
                  <w:tcW w:w="704"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t>间断</w:t>
                  </w:r>
                </w:p>
              </w:tc>
              <w:tc>
                <w:tcPr>
                  <w:tcW w:w="2057"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59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p>
              </w:tc>
              <w:tc>
                <w:tcPr>
                  <w:tcW w:w="862"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t>职工生活</w:t>
                  </w:r>
                </w:p>
              </w:tc>
              <w:tc>
                <w:tcPr>
                  <w:tcW w:w="785"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t>生活垃圾</w:t>
                  </w:r>
                </w:p>
              </w:tc>
              <w:tc>
                <w:tcPr>
                  <w:tcW w:w="704"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t>间断</w:t>
                  </w:r>
                </w:p>
              </w:tc>
              <w:tc>
                <w:tcPr>
                  <w:tcW w:w="2057"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t>统一收集，由当地环卫部门集中处理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59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zh-CN"/>
                      <w14:textFill>
                        <w14:solidFill>
                          <w14:schemeClr w14:val="tx1"/>
                        </w14:solidFill>
                      </w14:textFill>
                    </w:rPr>
                    <w:t>电磁辐射</w:t>
                  </w:r>
                </w:p>
              </w:tc>
              <w:tc>
                <w:tcPr>
                  <w:tcW w:w="862" w:type="pct"/>
                  <w:vMerge w:val="restar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t>电能输送或电压转换</w:t>
                  </w:r>
                </w:p>
              </w:tc>
              <w:tc>
                <w:tcPr>
                  <w:tcW w:w="785"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zh-CN"/>
                      <w14:textFill>
                        <w14:solidFill>
                          <w14:schemeClr w14:val="tx1"/>
                        </w14:solidFill>
                      </w14:textFill>
                    </w:rPr>
                    <w:t>工频电场</w:t>
                  </w:r>
                </w:p>
              </w:tc>
              <w:tc>
                <w:tcPr>
                  <w:tcW w:w="704"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zh-CN"/>
                      <w14:textFill>
                        <w14:solidFill>
                          <w14:schemeClr w14:val="tx1"/>
                        </w14:solidFill>
                      </w14:textFill>
                    </w:rPr>
                    <w:t>连续</w:t>
                  </w:r>
                </w:p>
              </w:tc>
              <w:tc>
                <w:tcPr>
                  <w:tcW w:w="2057" w:type="pct"/>
                  <w:vMerge w:val="restar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t>电气设备采取集中布置方式，选用具有低辐射、抗干扰能力的设备，设置防雷接地保护装置，选用带屏蔽层的电缆、屏蔽层接地等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590"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14:textFill>
                        <w14:solidFill>
                          <w14:schemeClr w14:val="tx1"/>
                        </w14:solidFill>
                      </w14:textFill>
                    </w:rPr>
                  </w:pPr>
                </w:p>
              </w:tc>
              <w:tc>
                <w:tcPr>
                  <w:tcW w:w="862"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14:textFill>
                        <w14:solidFill>
                          <w14:schemeClr w14:val="tx1"/>
                        </w14:solidFill>
                      </w14:textFill>
                    </w:rPr>
                  </w:pPr>
                </w:p>
              </w:tc>
              <w:tc>
                <w:tcPr>
                  <w:tcW w:w="785"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zh-CN"/>
                      <w14:textFill>
                        <w14:solidFill>
                          <w14:schemeClr w14:val="tx1"/>
                        </w14:solidFill>
                      </w14:textFill>
                    </w:rPr>
                    <w:t>工频磁场</w:t>
                  </w:r>
                </w:p>
              </w:tc>
              <w:tc>
                <w:tcPr>
                  <w:tcW w:w="704" w:type="pc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zh-CN"/>
                      <w14:textFill>
                        <w14:solidFill>
                          <w14:schemeClr w14:val="tx1"/>
                        </w14:solidFill>
                      </w14:textFill>
                    </w:rPr>
                    <w:t>连续</w:t>
                  </w:r>
                </w:p>
              </w:tc>
              <w:tc>
                <w:tcPr>
                  <w:tcW w:w="2057"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zh-CN" w:eastAsia="zh-CN" w:bidi="zh-CN"/>
                      <w14:textFill>
                        <w14:solidFill>
                          <w14:schemeClr w14:val="tx1"/>
                        </w14:solidFill>
                      </w14:textFill>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p>
        </w:tc>
      </w:tr>
    </w:tbl>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b/>
          <w:bCs/>
          <w:snapToGrid w:val="0"/>
          <w:color w:val="000000" w:themeColor="text1"/>
          <w:sz w:val="30"/>
          <w:szCs w:val="30"/>
          <w14:textFill>
            <w14:solidFill>
              <w14:schemeClr w14:val="tx1"/>
            </w14:solidFill>
          </w14:textFill>
        </w:rPr>
      </w:pPr>
      <w:r>
        <w:rPr>
          <w:rFonts w:hint="default" w:ascii="Times New Roman" w:hAnsi="Times New Roman" w:eastAsia="仿宋_GB2312" w:cs="Times New Roman"/>
          <w:b/>
          <w:bCs/>
          <w:color w:val="000000" w:themeColor="text1"/>
          <w14:textFill>
            <w14:solidFill>
              <w14:schemeClr w14:val="tx1"/>
            </w14:solidFill>
          </w14:textFill>
        </w:rPr>
        <w:br w:type="page"/>
      </w:r>
      <w:bookmarkStart w:id="13" w:name="_Toc12251"/>
      <w:r>
        <w:rPr>
          <w:rFonts w:hint="default" w:ascii="Times New Roman" w:hAnsi="Times New Roman" w:eastAsia="宋体" w:cs="Times New Roman"/>
          <w:b/>
          <w:bCs/>
          <w:snapToGrid w:val="0"/>
          <w:color w:val="000000" w:themeColor="text1"/>
          <w:sz w:val="30"/>
          <w:szCs w:val="30"/>
          <w14:textFill>
            <w14:solidFill>
              <w14:schemeClr w14:val="tx1"/>
            </w14:solidFill>
          </w14:textFill>
        </w:rPr>
        <w:t>三、生态环境现状、保护目标及评价标准</w:t>
      </w:r>
      <w:bookmarkEnd w:id="13"/>
    </w:p>
    <w:tbl>
      <w:tblPr>
        <w:tblStyle w:val="22"/>
        <w:tblW w:w="873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2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8" w:hRule="atLeast"/>
          <w:jc w:val="center"/>
        </w:trPr>
        <w:tc>
          <w:tcPr>
            <w:tcW w:w="4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生态环境现状</w:t>
            </w:r>
          </w:p>
        </w:tc>
        <w:tc>
          <w:tcPr>
            <w:tcW w:w="8277"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b/>
                <w:color w:val="000000" w:themeColor="text1"/>
                <w:kern w:val="0"/>
                <w:sz w:val="24"/>
                <w:highlight w:val="none"/>
                <w:lang w:val="en-US" w:eastAsia="zh-CN"/>
                <w14:textFill>
                  <w14:solidFill>
                    <w14:schemeClr w14:val="tx1"/>
                  </w14:solidFill>
                </w14:textFill>
              </w:rPr>
              <w:t>1、生态环境现状</w:t>
            </w:r>
          </w:p>
          <w:p>
            <w:pPr>
              <w:keepNext w:val="0"/>
              <w:keepLines w:val="0"/>
              <w:suppressLineNumbers w:val="0"/>
              <w:bidi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lang w:val="en-US" w:eastAsia="zh-CN"/>
                <w14:textFill>
                  <w14:solidFill>
                    <w14:schemeClr w14:val="tx1"/>
                  </w14:solidFill>
                </w14:textFill>
              </w:rPr>
              <w:t>.1土地利用现状</w:t>
            </w:r>
          </w:p>
          <w:p>
            <w:pPr>
              <w:keepNext w:val="0"/>
              <w:keepLines w:val="0"/>
              <w:suppressLineNumbers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根据建设单位提供的资料，</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占地面积为</w:t>
            </w:r>
            <w:r>
              <w:rPr>
                <w:rFonts w:hint="default" w:ascii="Times New Roman" w:hAnsi="Times New Roman" w:cs="Times New Roman"/>
                <w:color w:val="000000" w:themeColor="text1"/>
                <w:sz w:val="24"/>
                <w:szCs w:val="24"/>
                <w:lang w:val="en-US" w:eastAsia="zh-CN"/>
                <w14:textFill>
                  <w14:solidFill>
                    <w14:schemeClr w14:val="tx1"/>
                  </w14:solidFill>
                </w14:textFill>
              </w:rPr>
              <w:t>8000</w:t>
            </w:r>
            <w:r>
              <w:rPr>
                <w:rFonts w:hint="default" w:ascii="Times New Roman" w:hAnsi="Times New Roman" w:eastAsia="TimesNewRomanPSMT"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用地</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类型为</w:t>
            </w:r>
            <w:r>
              <w:rPr>
                <w:rFonts w:hint="default" w:ascii="Times New Roman" w:hAnsi="Times New Roman" w:cs="Times New Roman"/>
                <w:color w:val="000000" w:themeColor="text1"/>
                <w:sz w:val="24"/>
                <w:highlight w:val="none"/>
                <w:lang w:eastAsia="zh-CN"/>
                <w14:textFill>
                  <w14:solidFill>
                    <w14:schemeClr w14:val="tx1"/>
                  </w14:solidFill>
                </w14:textFill>
              </w:rPr>
              <w:t>其他园地。</w:t>
            </w:r>
          </w:p>
          <w:p>
            <w:pPr>
              <w:keepNext w:val="0"/>
              <w:keepLines w:val="0"/>
              <w:suppressLineNumbers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本工程不涉及生态保护红线，不涉及国家公园、风景名胜区、饮用水水源保护区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、永久基本农田、</w:t>
            </w:r>
            <w:r>
              <w:rPr>
                <w:rFonts w:hint="default" w:ascii="Times New Roman" w:hAnsi="Times New Roman" w:eastAsia="宋体" w:cs="Times New Roman"/>
                <w:color w:val="000000" w:themeColor="text1"/>
                <w:sz w:val="24"/>
                <w:lang w:val="en-US" w:eastAsia="zh-CN"/>
                <w14:textFill>
                  <w14:solidFill>
                    <w14:schemeClr w14:val="tx1"/>
                  </w14:solidFill>
                </w14:textFill>
              </w:rPr>
              <w:t>基本草原、自然公园（森林公园、地质公园）、重要湿地、天然林、重点保护野生动物栖息地、重点保护野生植物生长繁殖地等。</w:t>
            </w:r>
          </w:p>
          <w:p>
            <w:pPr>
              <w:keepNext w:val="0"/>
              <w:keepLines w:val="0"/>
              <w:suppressLineNumbers w:val="0"/>
              <w:bidi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1.2建设项目所在地生态环境现状</w:t>
            </w:r>
          </w:p>
          <w:p>
            <w:pPr>
              <w:keepNext w:val="0"/>
              <w:keepLines w:val="0"/>
              <w:suppressLineNumbers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（1）植被调查现状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邵阳县野生动植物资源丰富。全县有野生植物约191科、485属、1166种；其中木本植物95种268属717种，草本植物96科217属449种。</w:t>
            </w:r>
            <w:r>
              <w:rPr>
                <w:rFonts w:hint="default" w:ascii="Times New Roman" w:hAnsi="Times New Roman" w:cs="Times New Roman"/>
                <w:color w:val="000000" w:themeColor="text1"/>
                <w:sz w:val="24"/>
                <w:szCs w:val="24"/>
                <w:lang w:val="en-US" w:eastAsia="zh-CN"/>
                <w14:textFill>
                  <w14:solidFill>
                    <w14:schemeClr w14:val="tx1"/>
                  </w14:solidFill>
                </w14:textFill>
              </w:rPr>
              <w:t>野生植物物种有杉树、松树、刺槐、苦楝、黄荆、枫香、酸枣等，人工种植植物物种有油茶、板栗等。</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现有林地面积131万亩，活立木蓄量223万立方米，森林覆盖率为41.3%，现有野生动物计168种。其中系国家二级保护珍稀动物有10余种。</w:t>
            </w:r>
          </w:p>
          <w:p>
            <w:pPr>
              <w:keepNext w:val="0"/>
              <w:keepLines w:val="0"/>
              <w:suppressLineNumbers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u w:val="none"/>
                <w:lang w:val="en-US" w:eastAsia="zh-CN"/>
                <w14:textFill>
                  <w14:solidFill>
                    <w14:schemeClr w14:val="tx1"/>
                  </w14:solidFill>
                </w14:textFill>
              </w:rPr>
            </w:pPr>
            <w:r>
              <w:rPr>
                <w:rFonts w:hint="default" w:ascii="Times New Roman" w:hAnsi="Times New Roman" w:cs="Times New Roman"/>
                <w:color w:val="000000" w:themeColor="text1"/>
                <w:kern w:val="2"/>
                <w:sz w:val="24"/>
                <w:szCs w:val="24"/>
                <w:u w:val="none"/>
                <w:lang w:val="en-US" w:eastAsia="zh-CN" w:bidi="ar-SA"/>
                <w14:textFill>
                  <w14:solidFill>
                    <w14:schemeClr w14:val="tx1"/>
                  </w14:solidFill>
                </w14:textFill>
              </w:rPr>
              <w:t>根据现场实地踏勘，</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项目所在区域目前大部分属于农村生态系统，区域现有植被类型简单，主要为农家菜园、旱田、灌木丛等，区域有附近居民耕种的农田、旱地，其作物主要为水稻、玉米、蔬菜等，多为人工植被。</w:t>
            </w:r>
            <w:r>
              <w:rPr>
                <w:rFonts w:hint="default" w:ascii="Times New Roman" w:hAnsi="Times New Roman" w:cs="Times New Roman"/>
                <w:color w:val="000000" w:themeColor="text1"/>
                <w:kern w:val="2"/>
                <w:sz w:val="24"/>
                <w:szCs w:val="24"/>
                <w:u w:val="none"/>
                <w:lang w:val="en-US" w:eastAsia="zh-CN" w:bidi="ar-SA"/>
                <w14:textFill>
                  <w14:solidFill>
                    <w14:schemeClr w14:val="tx1"/>
                  </w14:solidFill>
                </w14:textFill>
              </w:rPr>
              <w:t>项目占地范围内主要为荒地和灌木，项目地处丘陵地带，区域人类活动较少，区域植被主要是灌草丛，少量刺槐、马尾松、苦楝等。</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本项目占地范围内未见重点保护野生植物分布。</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6"/>
              <w:gridCol w:w="3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17" w:type="pct"/>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427605" cy="1829435"/>
                        <wp:effectExtent l="0" t="0" r="10795" b="184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2427605" cy="1829435"/>
                                </a:xfrm>
                                <a:prstGeom prst="rect">
                                  <a:avLst/>
                                </a:prstGeom>
                                <a:noFill/>
                                <a:ln>
                                  <a:noFill/>
                                </a:ln>
                              </pic:spPr>
                            </pic:pic>
                          </a:graphicData>
                        </a:graphic>
                      </wp:inline>
                    </w:drawing>
                  </w:r>
                </w:p>
              </w:tc>
              <w:tc>
                <w:tcPr>
                  <w:tcW w:w="2482" w:type="pct"/>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396490" cy="1808480"/>
                        <wp:effectExtent l="0" t="0" r="3810" b="12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2396490" cy="1808480"/>
                                </a:xfrm>
                                <a:prstGeom prst="rect">
                                  <a:avLst/>
                                </a:prstGeom>
                                <a:noFill/>
                                <a:ln>
                                  <a:noFill/>
                                </a:ln>
                              </pic:spPr>
                            </pic:pic>
                          </a:graphicData>
                        </a:graphic>
                      </wp:inline>
                    </w:drawing>
                  </w:r>
                </w:p>
              </w:tc>
            </w:tr>
          </w:tbl>
          <w:p>
            <w:pPr>
              <w:pStyle w:val="7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bCs/>
                <w:color w:val="000000" w:themeColor="text1"/>
                <w:sz w:val="21"/>
                <w:szCs w:val="21"/>
                <w:u w:val="none"/>
                <w:vertAlign w:val="superscript"/>
                <w:lang w:val="zh-CN"/>
                <w14:textFill>
                  <w14:solidFill>
                    <w14:schemeClr w14:val="tx1"/>
                  </w14:solidFill>
                </w14:textFill>
              </w:rPr>
            </w:pPr>
            <w:r>
              <w:rPr>
                <w:rFonts w:hint="default" w:ascii="Times New Roman" w:hAnsi="Times New Roman" w:cs="Times New Roman"/>
                <w:bCs/>
                <w:color w:val="000000" w:themeColor="text1"/>
                <w:sz w:val="21"/>
                <w:szCs w:val="21"/>
                <w:u w:val="none"/>
                <w:lang w:val="zh-CN"/>
                <w14:textFill>
                  <w14:solidFill>
                    <w14:schemeClr w14:val="tx1"/>
                  </w14:solidFill>
                </w14:textFill>
              </w:rPr>
              <w:t>图3-</w:t>
            </w:r>
            <w:r>
              <w:rPr>
                <w:rFonts w:hint="default" w:ascii="Times New Roman" w:hAnsi="Times New Roman" w:cs="Times New Roman"/>
                <w:bCs/>
                <w:color w:val="000000" w:themeColor="text1"/>
                <w:sz w:val="21"/>
                <w:szCs w:val="21"/>
                <w:u w:val="none"/>
                <w:lang w:val="en-US" w:eastAsia="zh-CN"/>
                <w14:textFill>
                  <w14:solidFill>
                    <w14:schemeClr w14:val="tx1"/>
                  </w14:solidFill>
                </w14:textFill>
              </w:rPr>
              <w:t>1</w:t>
            </w:r>
            <w:r>
              <w:rPr>
                <w:rFonts w:hint="default" w:ascii="Times New Roman" w:hAnsi="Times New Roman" w:cs="Times New Roman"/>
                <w:bCs/>
                <w:color w:val="000000" w:themeColor="text1"/>
                <w:sz w:val="21"/>
                <w:szCs w:val="21"/>
                <w:u w:val="none"/>
                <w:lang w:val="zh-CN"/>
                <w14:textFill>
                  <w14:solidFill>
                    <w14:schemeClr w14:val="tx1"/>
                  </w14:solidFill>
                </w14:textFill>
              </w:rPr>
              <w:t xml:space="preserve">  项目</w:t>
            </w:r>
            <w:r>
              <w:rPr>
                <w:rFonts w:hint="default" w:ascii="Times New Roman" w:hAnsi="Times New Roman" w:cs="Times New Roman"/>
                <w:bCs/>
                <w:color w:val="000000" w:themeColor="text1"/>
                <w:sz w:val="21"/>
                <w:szCs w:val="21"/>
                <w:u w:val="none"/>
                <w:lang w:val="en-US" w:eastAsia="zh-CN"/>
                <w14:textFill>
                  <w14:solidFill>
                    <w14:schemeClr w14:val="tx1"/>
                  </w14:solidFill>
                </w14:textFill>
              </w:rPr>
              <w:t>场址</w:t>
            </w:r>
            <w:r>
              <w:rPr>
                <w:rFonts w:hint="default" w:ascii="Times New Roman" w:hAnsi="Times New Roman" w:cs="Times New Roman"/>
                <w:bCs/>
                <w:color w:val="000000" w:themeColor="text1"/>
                <w:sz w:val="21"/>
                <w:szCs w:val="21"/>
                <w:u w:val="none"/>
                <w:lang w:val="zh-CN"/>
                <w14:textFill>
                  <w14:solidFill>
                    <w14:schemeClr w14:val="tx1"/>
                  </w14:solidFill>
                </w14:textFill>
              </w:rPr>
              <w:t>典型植被图片</w:t>
            </w:r>
          </w:p>
          <w:p>
            <w:pPr>
              <w:keepNext w:val="0"/>
              <w:keepLines w:val="0"/>
              <w:suppressLineNumbers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（2）野生动物资源调查</w:t>
            </w:r>
          </w:p>
          <w:p>
            <w:pPr>
              <w:keepNext w:val="0"/>
              <w:keepLines w:val="0"/>
              <w:suppressLineNumbers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根据收集到的有关文献统计</w:t>
            </w:r>
            <w:r>
              <w:rPr>
                <w:rFonts w:hint="default" w:ascii="Times New Roman" w:hAnsi="Times New Roman" w:cs="Times New Roman"/>
                <w:color w:val="000000" w:themeColor="text1"/>
                <w:sz w:val="24"/>
                <w:lang w:val="en-US" w:eastAsia="zh-CN"/>
                <w14:textFill>
                  <w14:solidFill>
                    <w14:schemeClr w14:val="tx1"/>
                  </w14:solidFill>
                </w14:textFill>
              </w:rPr>
              <w:t>及现场调查了解</w:t>
            </w:r>
            <w:r>
              <w:rPr>
                <w:rFonts w:hint="default" w:ascii="Times New Roman" w:hAnsi="Times New Roman" w:eastAsia="宋体" w:cs="Times New Roman"/>
                <w:color w:val="000000" w:themeColor="text1"/>
                <w:sz w:val="24"/>
                <w:lang w:val="en-US" w:eastAsia="zh-CN"/>
                <w14:textFill>
                  <w14:solidFill>
                    <w14:schemeClr w14:val="tx1"/>
                  </w14:solidFill>
                </w14:textFill>
              </w:rPr>
              <w:t>，评价范围所在地区内无濒危、</w:t>
            </w:r>
            <w:r>
              <w:rPr>
                <w:rFonts w:hint="default" w:ascii="Times New Roman" w:hAnsi="Times New Roman" w:cs="Times New Roman"/>
                <w:color w:val="000000" w:themeColor="text1"/>
                <w:sz w:val="24"/>
                <w:lang w:val="en-US" w:eastAsia="zh-CN"/>
                <w14:textFill>
                  <w14:solidFill>
                    <w14:schemeClr w14:val="tx1"/>
                  </w14:solidFill>
                </w14:textFill>
              </w:rPr>
              <w:t>珍稀</w:t>
            </w:r>
            <w:r>
              <w:rPr>
                <w:rFonts w:hint="default" w:ascii="Times New Roman" w:hAnsi="Times New Roman" w:eastAsia="宋体" w:cs="Times New Roman"/>
                <w:color w:val="000000" w:themeColor="text1"/>
                <w:sz w:val="24"/>
                <w:lang w:val="en-US" w:eastAsia="zh-CN"/>
                <w14:textFill>
                  <w14:solidFill>
                    <w14:schemeClr w14:val="tx1"/>
                  </w14:solidFill>
                </w14:textFill>
              </w:rPr>
              <w:t>野生动物，评价区域内无大型的兽类等动物分布的野生动物，两栖类主要有青蛙、蟾蜍等；爬行类主要有蜥蜴、壁虎等；鸟类主要有喜鹊、麻雀、燕子、猫头鹰、雁等；哺乳类主要有黄鼬、野兔、蝙蝠、鼠类等。由于区域人类活动频繁，野生动物种类和数量分布均不多，主要是以伴人动物为主，在鸟类迁徙季节，鸟类数量较平时略多。</w:t>
            </w:r>
          </w:p>
          <w:p>
            <w:pPr>
              <w:keepNext w:val="0"/>
              <w:keepLines w:val="0"/>
              <w:suppressLineNumbers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施工区无大型兽类，森林类型动物也很少。在农田作物或草丛、灌丛间以小型兽类为多，其中以啮齿类为常见。鸟类主要为麻雀、喜鹊等。项目所在地及工程建设影响范围内，未发现珍稀重点保护野生动物分布，亦不涉及重要生态敏感区。</w:t>
            </w:r>
          </w:p>
          <w:p>
            <w:pPr>
              <w:keepNext w:val="0"/>
              <w:keepLines w:val="0"/>
              <w:suppressLineNumbers w:val="0"/>
              <w:bidi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1.3生态环境现状总体结论</w:t>
            </w:r>
          </w:p>
          <w:p>
            <w:pPr>
              <w:keepNext w:val="0"/>
              <w:keepLines w:val="0"/>
              <w:pageBreakBefore w:val="0"/>
              <w:widowControl w:val="0"/>
              <w:numPr>
                <w:ilvl w:val="0"/>
                <w:numId w:val="0"/>
              </w:numPr>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工程建设区域现状主要以农村环境为主，项目区域内未发现其他珍稀植物物种和古树，也未发现野生珍稀濒危动物种类，项目所在地不</w:t>
            </w:r>
            <w:r>
              <w:rPr>
                <w:rFonts w:hint="default" w:ascii="Times New Roman" w:hAnsi="Times New Roman" w:cs="Times New Roman"/>
                <w:color w:val="000000" w:themeColor="text1"/>
                <w:sz w:val="24"/>
                <w:lang w:val="en-US" w:eastAsia="zh-CN"/>
                <w14:textFill>
                  <w14:solidFill>
                    <w14:schemeClr w14:val="tx1"/>
                  </w14:solidFill>
                </w14:textFill>
              </w:rPr>
              <w:t>在</w:t>
            </w:r>
            <w:r>
              <w:rPr>
                <w:rFonts w:hint="default" w:ascii="Times New Roman" w:hAnsi="Times New Roman" w:eastAsia="宋体" w:cs="Times New Roman"/>
                <w:color w:val="000000" w:themeColor="text1"/>
                <w:sz w:val="24"/>
                <w:lang w:val="en-US" w:eastAsia="zh-CN"/>
                <w14:textFill>
                  <w14:solidFill>
                    <w14:schemeClr w14:val="tx1"/>
                  </w14:solidFill>
                </w14:textFill>
              </w:rPr>
              <w:t>县级、乡镇生活饮用水水源保护区</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不属于特殊生态敏感区。项目所在地未在森林公园、风景名胜区、湿地公园、水产种质资源保护区及重要鱼类产卵场内。</w:t>
            </w:r>
          </w:p>
          <w:p>
            <w:pPr>
              <w:keepNext w:val="0"/>
              <w:keepLines w:val="0"/>
              <w:pageBreakBefore w:val="0"/>
              <w:widowControl w:val="0"/>
              <w:numPr>
                <w:ilvl w:val="0"/>
                <w:numId w:val="0"/>
              </w:numPr>
              <w:suppressLineNumbers w:val="0"/>
              <w:kinsoku/>
              <w:wordWrap/>
              <w:overflowPunct/>
              <w:topLinePunct w:val="0"/>
              <w:autoSpaceDE/>
              <w:autoSpaceDN/>
              <w:bidi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color w:val="000000" w:themeColor="text1"/>
                <w:kern w:val="0"/>
                <w:sz w:val="24"/>
                <w:highlight w:val="none"/>
                <w14:textFill>
                  <w14:solidFill>
                    <w14:schemeClr w14:val="tx1"/>
                  </w14:solidFill>
                </w14:textFill>
              </w:rPr>
            </w:pPr>
            <w:r>
              <w:rPr>
                <w:rFonts w:hint="default" w:ascii="Times New Roman" w:hAnsi="Times New Roman" w:cs="Times New Roman"/>
                <w:b/>
                <w:color w:val="000000" w:themeColor="text1"/>
                <w:kern w:val="0"/>
                <w:sz w:val="24"/>
                <w:highlight w:val="none"/>
                <w:lang w:val="en-US" w:eastAsia="zh-CN"/>
                <w14:textFill>
                  <w14:solidFill>
                    <w14:schemeClr w14:val="tx1"/>
                  </w14:solidFill>
                </w14:textFill>
              </w:rPr>
              <w:t>2、</w:t>
            </w:r>
            <w:r>
              <w:rPr>
                <w:rFonts w:hint="default" w:ascii="Times New Roman" w:hAnsi="Times New Roman" w:cs="Times New Roman"/>
                <w:b/>
                <w:color w:val="000000" w:themeColor="text1"/>
                <w:kern w:val="0"/>
                <w:sz w:val="24"/>
                <w:highlight w:val="none"/>
                <w14:textFill>
                  <w14:solidFill>
                    <w14:schemeClr w14:val="tx1"/>
                  </w14:solidFill>
                </w14:textFill>
              </w:rPr>
              <w:t>环境</w:t>
            </w:r>
            <w:r>
              <w:rPr>
                <w:rFonts w:hint="default" w:ascii="Times New Roman" w:hAnsi="Times New Roman" w:cs="Times New Roman"/>
                <w:b/>
                <w:color w:val="000000" w:themeColor="text1"/>
                <w:kern w:val="0"/>
                <w:sz w:val="24"/>
                <w:highlight w:val="none"/>
                <w:lang w:val="en-US" w:eastAsia="zh-CN"/>
                <w14:textFill>
                  <w14:solidFill>
                    <w14:schemeClr w14:val="tx1"/>
                  </w14:solidFill>
                </w14:textFill>
              </w:rPr>
              <w:t>空气</w:t>
            </w:r>
            <w:r>
              <w:rPr>
                <w:rFonts w:hint="default" w:ascii="Times New Roman" w:hAnsi="Times New Roman" w:cs="Times New Roman"/>
                <w:b/>
                <w:color w:val="000000" w:themeColor="text1"/>
                <w:kern w:val="0"/>
                <w:sz w:val="24"/>
                <w:highlight w:val="none"/>
                <w14:textFill>
                  <w14:solidFill>
                    <w14:schemeClr w14:val="tx1"/>
                  </w14:solidFill>
                </w14:textFill>
              </w:rPr>
              <w:t>质量现状</w:t>
            </w:r>
          </w:p>
          <w:p>
            <w:pPr>
              <w:pStyle w:val="7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根据《建设项目环境影响报告表编制技术指南》（2021年），常规污染物引用与建设项目距离近的有效数据，包括近3年的规划环境影响评价的监测数据，国家、地方环境空气质量监测网数据或生态环境主管部门公开发布的质量数据等。</w:t>
            </w:r>
          </w:p>
          <w:p>
            <w:pPr>
              <w:pStyle w:val="7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textAlignment w:val="auto"/>
              <w:rPr>
                <w:rFonts w:hint="default" w:ascii="Times New Roman" w:hAnsi="Times New Roman" w:cs="Times New Roman"/>
                <w:color w:val="000000" w:themeColor="text1"/>
                <w:sz w:val="24"/>
                <w:szCs w:val="24"/>
                <w:u w:val="single"/>
                <w14:textFill>
                  <w14:solidFill>
                    <w14:schemeClr w14:val="tx1"/>
                  </w14:solidFill>
                </w14:textFill>
              </w:rPr>
            </w:pPr>
            <w:r>
              <w:rPr>
                <w:rFonts w:hint="default" w:ascii="Times New Roman" w:hAnsi="Times New Roman" w:eastAsia="宋体" w:cs="Times New Roman"/>
                <w:color w:val="000000" w:themeColor="text1"/>
                <w:kern w:val="0"/>
                <w:sz w:val="24"/>
                <w:szCs w:val="24"/>
                <w:u w:val="single"/>
                <w:lang w:val="en-US" w:eastAsia="zh-CN" w:bidi="ar-SA"/>
                <w14:textFill>
                  <w14:solidFill>
                    <w14:schemeClr w14:val="tx1"/>
                  </w14:solidFill>
                </w14:textFill>
              </w:rPr>
              <w:t>项目位于湖南省邵阳市邵阳县郦家坪镇，环境空气质量功能区为二类区，项目所在区域执行《环境空气质量标准》（GB3095-2012）中二级标准。本项目引用</w:t>
            </w:r>
            <w:r>
              <w:rPr>
                <w:rFonts w:hint="default" w:ascii="Times New Roman" w:hAnsi="Times New Roman" w:cs="Times New Roman"/>
                <w:color w:val="000000" w:themeColor="text1"/>
                <w:szCs w:val="21"/>
                <w:u w:val="single"/>
                <w14:textFill>
                  <w14:solidFill>
                    <w14:schemeClr w14:val="tx1"/>
                  </w14:solidFill>
                </w14:textFill>
              </w:rPr>
              <w:t>邵阳市邵阳县空气质量自动站监测点在线监测分析平台公布的2022年1-12月的环境空气质量历史数据</w:t>
            </w:r>
            <w:r>
              <w:rPr>
                <w:rFonts w:hint="default" w:ascii="Times New Roman" w:hAnsi="Times New Roman" w:eastAsia="宋体" w:cs="Times New Roman"/>
                <w:color w:val="000000" w:themeColor="text1"/>
                <w:kern w:val="0"/>
                <w:sz w:val="24"/>
                <w:szCs w:val="24"/>
                <w:u w:val="single"/>
                <w:lang w:val="en-US" w:eastAsia="zh-CN" w:bidi="ar-SA"/>
                <w14:textFill>
                  <w14:solidFill>
                    <w14:schemeClr w14:val="tx1"/>
                  </w14:solidFill>
                </w14:textFill>
              </w:rPr>
              <w:t>来判断区域是否达标。项目区域空气质量现状达标判定结果详见表3</w:t>
            </w:r>
            <w:r>
              <w:rPr>
                <w:rFonts w:hint="default" w:ascii="Times New Roman" w:hAnsi="Times New Roman" w:cs="Times New Roman"/>
                <w:color w:val="000000" w:themeColor="text1"/>
                <w:kern w:val="0"/>
                <w:sz w:val="24"/>
                <w:szCs w:val="24"/>
                <w:u w:val="single"/>
                <w:lang w:val="en-US" w:eastAsia="zh-CN" w:bidi="ar-SA"/>
                <w14:textFill>
                  <w14:solidFill>
                    <w14:schemeClr w14:val="tx1"/>
                  </w14:solidFill>
                </w14:textFill>
              </w:rPr>
              <w:t>-</w:t>
            </w:r>
            <w:r>
              <w:rPr>
                <w:rFonts w:hint="eastAsia" w:ascii="Times New Roman" w:hAnsi="Times New Roman" w:cs="Times New Roman"/>
                <w:color w:val="000000" w:themeColor="text1"/>
                <w:kern w:val="0"/>
                <w:sz w:val="24"/>
                <w:szCs w:val="24"/>
                <w:u w:val="single"/>
                <w:lang w:val="en-US" w:eastAsia="zh-CN" w:bidi="ar-SA"/>
                <w14:textFill>
                  <w14:solidFill>
                    <w14:schemeClr w14:val="tx1"/>
                  </w14:solidFill>
                </w14:textFill>
              </w:rPr>
              <w:t>1</w:t>
            </w:r>
            <w:r>
              <w:rPr>
                <w:rFonts w:hint="default" w:ascii="Times New Roman" w:hAnsi="Times New Roman" w:cs="Times New Roman"/>
                <w:color w:val="000000" w:themeColor="text1"/>
                <w:sz w:val="24"/>
                <w:szCs w:val="24"/>
                <w:u w:val="single"/>
                <w14:textFill>
                  <w14:solidFill>
                    <w14:schemeClr w14:val="tx1"/>
                  </w14:solidFill>
                </w14:textFill>
              </w:rPr>
              <w:t>。</w:t>
            </w:r>
          </w:p>
          <w:p>
            <w:pPr>
              <w:pStyle w:val="7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Cs/>
                <w:color w:val="000000" w:themeColor="text1"/>
                <w:sz w:val="21"/>
                <w:szCs w:val="21"/>
                <w:u w:val="single"/>
                <w:vertAlign w:val="superscript"/>
                <w:lang w:val="zh-CN"/>
                <w14:textFill>
                  <w14:solidFill>
                    <w14:schemeClr w14:val="tx1"/>
                  </w14:solidFill>
                </w14:textFill>
              </w:rPr>
            </w:pPr>
            <w:r>
              <w:rPr>
                <w:rFonts w:hint="default" w:ascii="Times New Roman" w:hAnsi="Times New Roman" w:cs="Times New Roman"/>
                <w:bCs/>
                <w:color w:val="000000" w:themeColor="text1"/>
                <w:sz w:val="21"/>
                <w:szCs w:val="21"/>
                <w:u w:val="single"/>
                <w:lang w:val="zh-CN"/>
                <w14:textFill>
                  <w14:solidFill>
                    <w14:schemeClr w14:val="tx1"/>
                  </w14:solidFill>
                </w14:textFill>
              </w:rPr>
              <w:t>表3-</w:t>
            </w:r>
            <w:r>
              <w:rPr>
                <w:rFonts w:hint="eastAsia" w:ascii="Times New Roman" w:hAnsi="Times New Roman" w:cs="Times New Roman"/>
                <w:bCs/>
                <w:color w:val="000000" w:themeColor="text1"/>
                <w:sz w:val="21"/>
                <w:szCs w:val="21"/>
                <w:u w:val="single"/>
                <w:lang w:val="en-US" w:eastAsia="zh-CN"/>
                <w14:textFill>
                  <w14:solidFill>
                    <w14:schemeClr w14:val="tx1"/>
                  </w14:solidFill>
                </w14:textFill>
              </w:rPr>
              <w:t>1</w:t>
            </w:r>
            <w:r>
              <w:rPr>
                <w:rFonts w:hint="default" w:ascii="Times New Roman" w:hAnsi="Times New Roman" w:cs="Times New Roman"/>
                <w:bCs/>
                <w:color w:val="000000" w:themeColor="text1"/>
                <w:sz w:val="21"/>
                <w:szCs w:val="21"/>
                <w:u w:val="single"/>
                <w:lang w:val="zh-CN"/>
                <w14:textFill>
                  <w14:solidFill>
                    <w14:schemeClr w14:val="tx1"/>
                  </w14:solidFill>
                </w14:textFill>
              </w:rPr>
              <w:t xml:space="preserve">  202</w:t>
            </w:r>
            <w:r>
              <w:rPr>
                <w:rFonts w:hint="default" w:ascii="Times New Roman" w:hAnsi="Times New Roman" w:cs="Times New Roman"/>
                <w:bCs/>
                <w:color w:val="000000" w:themeColor="text1"/>
                <w:sz w:val="21"/>
                <w:szCs w:val="21"/>
                <w:u w:val="single"/>
                <w:lang w:val="en-US" w:eastAsia="zh-CN"/>
                <w14:textFill>
                  <w14:solidFill>
                    <w14:schemeClr w14:val="tx1"/>
                  </w14:solidFill>
                </w14:textFill>
              </w:rPr>
              <w:t>2</w:t>
            </w:r>
            <w:r>
              <w:rPr>
                <w:rFonts w:hint="default" w:ascii="Times New Roman" w:hAnsi="Times New Roman" w:cs="Times New Roman"/>
                <w:bCs/>
                <w:color w:val="000000" w:themeColor="text1"/>
                <w:sz w:val="21"/>
                <w:szCs w:val="21"/>
                <w:u w:val="single"/>
                <w:lang w:val="zh-CN"/>
                <w14:textFill>
                  <w14:solidFill>
                    <w14:schemeClr w14:val="tx1"/>
                  </w14:solidFill>
                </w14:textFill>
              </w:rPr>
              <w:t>年邵阳县环境空气监测统计结果  单位：ug/m</w:t>
            </w:r>
            <w:r>
              <w:rPr>
                <w:rFonts w:hint="default" w:ascii="Times New Roman" w:hAnsi="Times New Roman" w:cs="Times New Roman"/>
                <w:bCs/>
                <w:color w:val="000000" w:themeColor="text1"/>
                <w:sz w:val="21"/>
                <w:szCs w:val="21"/>
                <w:u w:val="single"/>
                <w:vertAlign w:val="superscript"/>
                <w:lang w:val="zh-CN"/>
                <w14:textFill>
                  <w14:solidFill>
                    <w14:schemeClr w14:val="tx1"/>
                  </w14:solidFill>
                </w14:textFill>
              </w:rPr>
              <w:t>3</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3054"/>
              <w:gridCol w:w="1162"/>
              <w:gridCol w:w="1158"/>
              <w:gridCol w:w="868"/>
              <w:gridCol w:w="9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53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val="0"/>
                      <w:color w:val="000000" w:themeColor="text1"/>
                      <w:sz w:val="21"/>
                      <w:szCs w:val="21"/>
                      <w:u w:val="single"/>
                      <w14:textFill>
                        <w14:solidFill>
                          <w14:schemeClr w14:val="tx1"/>
                        </w14:solidFill>
                      </w14:textFill>
                    </w:rPr>
                  </w:pPr>
                  <w:r>
                    <w:rPr>
                      <w:rFonts w:hint="default" w:ascii="Times New Roman" w:hAnsi="Times New Roman" w:cs="Times New Roman"/>
                      <w:b/>
                      <w:bCs w:val="0"/>
                      <w:color w:val="000000" w:themeColor="text1"/>
                      <w:sz w:val="21"/>
                      <w:szCs w:val="21"/>
                      <w:u w:val="single"/>
                      <w14:textFill>
                        <w14:solidFill>
                          <w14:schemeClr w14:val="tx1"/>
                        </w14:solidFill>
                      </w14:textFill>
                    </w:rPr>
                    <w:t>污染物</w:t>
                  </w:r>
                </w:p>
              </w:tc>
              <w:tc>
                <w:tcPr>
                  <w:tcW w:w="19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val="0"/>
                      <w:color w:val="000000" w:themeColor="text1"/>
                      <w:sz w:val="21"/>
                      <w:szCs w:val="21"/>
                      <w:u w:val="single"/>
                      <w14:textFill>
                        <w14:solidFill>
                          <w14:schemeClr w14:val="tx1"/>
                        </w14:solidFill>
                      </w14:textFill>
                    </w:rPr>
                  </w:pPr>
                  <w:r>
                    <w:rPr>
                      <w:rFonts w:hint="default" w:ascii="Times New Roman" w:hAnsi="Times New Roman" w:cs="Times New Roman"/>
                      <w:b/>
                      <w:bCs w:val="0"/>
                      <w:color w:val="000000" w:themeColor="text1"/>
                      <w:sz w:val="21"/>
                      <w:szCs w:val="21"/>
                      <w:u w:val="single"/>
                      <w14:textFill>
                        <w14:solidFill>
                          <w14:schemeClr w14:val="tx1"/>
                        </w14:solidFill>
                      </w14:textFill>
                    </w:rPr>
                    <w:t>年评价指标</w:t>
                  </w:r>
                </w:p>
              </w:tc>
              <w:tc>
                <w:tcPr>
                  <w:tcW w:w="72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val="0"/>
                      <w:color w:val="000000" w:themeColor="text1"/>
                      <w:sz w:val="21"/>
                      <w:szCs w:val="21"/>
                      <w:u w:val="single"/>
                      <w14:textFill>
                        <w14:solidFill>
                          <w14:schemeClr w14:val="tx1"/>
                        </w14:solidFill>
                      </w14:textFill>
                    </w:rPr>
                  </w:pPr>
                  <w:r>
                    <w:rPr>
                      <w:rFonts w:hint="default" w:ascii="Times New Roman" w:hAnsi="Times New Roman" w:cs="Times New Roman"/>
                      <w:b/>
                      <w:bCs w:val="0"/>
                      <w:color w:val="000000" w:themeColor="text1"/>
                      <w:sz w:val="21"/>
                      <w:szCs w:val="21"/>
                      <w:u w:val="single"/>
                      <w14:textFill>
                        <w14:solidFill>
                          <w14:schemeClr w14:val="tx1"/>
                        </w14:solidFill>
                      </w14:textFill>
                    </w:rPr>
                    <w:t>现状浓度（μg/m³）</w:t>
                  </w:r>
                </w:p>
              </w:tc>
              <w:tc>
                <w:tcPr>
                  <w:tcW w:w="71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val="0"/>
                      <w:color w:val="000000" w:themeColor="text1"/>
                      <w:sz w:val="21"/>
                      <w:szCs w:val="21"/>
                      <w:u w:val="single"/>
                      <w14:textFill>
                        <w14:solidFill>
                          <w14:schemeClr w14:val="tx1"/>
                        </w14:solidFill>
                      </w14:textFill>
                    </w:rPr>
                  </w:pPr>
                  <w:r>
                    <w:rPr>
                      <w:rFonts w:hint="default" w:ascii="Times New Roman" w:hAnsi="Times New Roman" w:cs="Times New Roman"/>
                      <w:b/>
                      <w:bCs w:val="0"/>
                      <w:color w:val="000000" w:themeColor="text1"/>
                      <w:sz w:val="21"/>
                      <w:szCs w:val="21"/>
                      <w:u w:val="single"/>
                      <w14:textFill>
                        <w14:solidFill>
                          <w14:schemeClr w14:val="tx1"/>
                        </w14:solidFill>
                      </w14:textFill>
                    </w:rPr>
                    <w:t>标准值（μg/m³）</w:t>
                  </w:r>
                </w:p>
              </w:tc>
              <w:tc>
                <w:tcPr>
                  <w:tcW w:w="5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val="0"/>
                      <w:color w:val="000000" w:themeColor="text1"/>
                      <w:sz w:val="21"/>
                      <w:szCs w:val="21"/>
                      <w:u w:val="single"/>
                      <w14:textFill>
                        <w14:solidFill>
                          <w14:schemeClr w14:val="tx1"/>
                        </w14:solidFill>
                      </w14:textFill>
                    </w:rPr>
                  </w:pPr>
                  <w:r>
                    <w:rPr>
                      <w:rFonts w:hint="default" w:ascii="Times New Roman" w:hAnsi="Times New Roman" w:cs="Times New Roman"/>
                      <w:b/>
                      <w:bCs w:val="0"/>
                      <w:color w:val="000000" w:themeColor="text1"/>
                      <w:sz w:val="21"/>
                      <w:szCs w:val="21"/>
                      <w:u w:val="single"/>
                      <w14:textFill>
                        <w14:solidFill>
                          <w14:schemeClr w14:val="tx1"/>
                        </w14:solidFill>
                      </w14:textFill>
                    </w:rPr>
                    <w:t>占标率/%</w:t>
                  </w:r>
                </w:p>
              </w:tc>
              <w:tc>
                <w:tcPr>
                  <w:tcW w:w="57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val="0"/>
                      <w:color w:val="000000" w:themeColor="text1"/>
                      <w:sz w:val="21"/>
                      <w:szCs w:val="21"/>
                      <w:u w:val="single"/>
                      <w14:textFill>
                        <w14:solidFill>
                          <w14:schemeClr w14:val="tx1"/>
                        </w14:solidFill>
                      </w14:textFill>
                    </w:rPr>
                  </w:pPr>
                  <w:r>
                    <w:rPr>
                      <w:rFonts w:hint="default" w:ascii="Times New Roman" w:hAnsi="Times New Roman" w:cs="Times New Roman"/>
                      <w:b/>
                      <w:bCs w:val="0"/>
                      <w:color w:val="000000" w:themeColor="text1"/>
                      <w:sz w:val="21"/>
                      <w:szCs w:val="21"/>
                      <w:u w:val="single"/>
                      <w14:textFill>
                        <w14:solidFill>
                          <w14:schemeClr w14:val="tx1"/>
                        </w14:solidFill>
                      </w14:textFill>
                    </w:rPr>
                    <w:t>达标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val="0"/>
                      <w:color w:val="000000" w:themeColor="text1"/>
                      <w:sz w:val="21"/>
                      <w:szCs w:val="21"/>
                      <w:u w:val="single"/>
                      <w14:textFill>
                        <w14:solidFill>
                          <w14:schemeClr w14:val="tx1"/>
                        </w14:solidFill>
                      </w14:textFill>
                    </w:rPr>
                  </w:pPr>
                  <w:r>
                    <w:rPr>
                      <w:rFonts w:hint="default" w:ascii="Times New Roman" w:hAnsi="Times New Roman" w:cs="Times New Roman"/>
                      <w:b/>
                      <w:bCs w:val="0"/>
                      <w:color w:val="000000" w:themeColor="text1"/>
                      <w:sz w:val="21"/>
                      <w:szCs w:val="21"/>
                      <w:u w:val="single"/>
                      <w14:textFill>
                        <w14:solidFill>
                          <w14:schemeClr w14:val="tx1"/>
                        </w14:solidFill>
                      </w14:textFill>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SO</w:t>
                  </w:r>
                  <w:r>
                    <w:rPr>
                      <w:rFonts w:hint="default" w:ascii="Times New Roman" w:hAnsi="Times New Roman" w:cs="Times New Roman"/>
                      <w:bCs/>
                      <w:color w:val="000000" w:themeColor="text1"/>
                      <w:sz w:val="21"/>
                      <w:szCs w:val="21"/>
                      <w:u w:val="single"/>
                      <w:vertAlign w:val="subscript"/>
                      <w14:textFill>
                        <w14:solidFill>
                          <w14:schemeClr w14:val="tx1"/>
                        </w14:solidFill>
                      </w14:textFill>
                    </w:rPr>
                    <w:t>2</w:t>
                  </w:r>
                </w:p>
              </w:tc>
              <w:tc>
                <w:tcPr>
                  <w:tcW w:w="19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年平均质量浓度</w:t>
                  </w:r>
                </w:p>
              </w:tc>
              <w:tc>
                <w:tcPr>
                  <w:tcW w:w="72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7</w:t>
                  </w:r>
                </w:p>
              </w:tc>
              <w:tc>
                <w:tcPr>
                  <w:tcW w:w="71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60</w:t>
                  </w:r>
                </w:p>
              </w:tc>
              <w:tc>
                <w:tcPr>
                  <w:tcW w:w="5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11.67</w:t>
                  </w:r>
                </w:p>
              </w:tc>
              <w:tc>
                <w:tcPr>
                  <w:tcW w:w="57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53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NO</w:t>
                  </w:r>
                  <w:r>
                    <w:rPr>
                      <w:rFonts w:hint="default" w:ascii="Times New Roman" w:hAnsi="Times New Roman" w:cs="Times New Roman"/>
                      <w:bCs/>
                      <w:color w:val="000000" w:themeColor="text1"/>
                      <w:sz w:val="21"/>
                      <w:szCs w:val="21"/>
                      <w:u w:val="single"/>
                      <w:vertAlign w:val="subscript"/>
                      <w14:textFill>
                        <w14:solidFill>
                          <w14:schemeClr w14:val="tx1"/>
                        </w14:solidFill>
                      </w14:textFill>
                    </w:rPr>
                    <w:t>2</w:t>
                  </w:r>
                </w:p>
              </w:tc>
              <w:tc>
                <w:tcPr>
                  <w:tcW w:w="19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年平均质量浓度</w:t>
                  </w:r>
                </w:p>
              </w:tc>
              <w:tc>
                <w:tcPr>
                  <w:tcW w:w="72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13</w:t>
                  </w:r>
                </w:p>
              </w:tc>
              <w:tc>
                <w:tcPr>
                  <w:tcW w:w="71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cr/>
                  </w:r>
                  <w:r>
                    <w:rPr>
                      <w:rFonts w:hint="default" w:ascii="Times New Roman" w:hAnsi="Times New Roman" w:cs="Times New Roman"/>
                      <w:bCs/>
                      <w:color w:val="000000" w:themeColor="text1"/>
                      <w:sz w:val="21"/>
                      <w:szCs w:val="21"/>
                      <w:u w:val="single"/>
                      <w14:textFill>
                        <w14:solidFill>
                          <w14:schemeClr w14:val="tx1"/>
                        </w14:solidFill>
                      </w14:textFill>
                    </w:rPr>
                    <w:t>0</w:t>
                  </w:r>
                </w:p>
              </w:tc>
              <w:tc>
                <w:tcPr>
                  <w:tcW w:w="5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32.5</w:t>
                  </w:r>
                </w:p>
              </w:tc>
              <w:tc>
                <w:tcPr>
                  <w:tcW w:w="57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53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PM</w:t>
                  </w:r>
                  <w:r>
                    <w:rPr>
                      <w:rFonts w:hint="default" w:ascii="Times New Roman" w:hAnsi="Times New Roman" w:cs="Times New Roman"/>
                      <w:bCs/>
                      <w:color w:val="000000" w:themeColor="text1"/>
                      <w:sz w:val="21"/>
                      <w:szCs w:val="21"/>
                      <w:u w:val="single"/>
                      <w:vertAlign w:val="subscript"/>
                      <w14:textFill>
                        <w14:solidFill>
                          <w14:schemeClr w14:val="tx1"/>
                        </w14:solidFill>
                      </w14:textFill>
                    </w:rPr>
                    <w:t>10</w:t>
                  </w:r>
                </w:p>
              </w:tc>
              <w:tc>
                <w:tcPr>
                  <w:tcW w:w="19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年平均质量浓度</w:t>
                  </w:r>
                </w:p>
              </w:tc>
              <w:tc>
                <w:tcPr>
                  <w:tcW w:w="72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45</w:t>
                  </w:r>
                </w:p>
              </w:tc>
              <w:tc>
                <w:tcPr>
                  <w:tcW w:w="71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70</w:t>
                  </w:r>
                </w:p>
              </w:tc>
              <w:tc>
                <w:tcPr>
                  <w:tcW w:w="5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64.29</w:t>
                  </w:r>
                </w:p>
              </w:tc>
              <w:tc>
                <w:tcPr>
                  <w:tcW w:w="57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53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PM</w:t>
                  </w:r>
                  <w:r>
                    <w:rPr>
                      <w:rFonts w:hint="default" w:ascii="Times New Roman" w:hAnsi="Times New Roman" w:cs="Times New Roman"/>
                      <w:bCs/>
                      <w:color w:val="000000" w:themeColor="text1"/>
                      <w:sz w:val="21"/>
                      <w:szCs w:val="21"/>
                      <w:u w:val="single"/>
                      <w:vertAlign w:val="subscript"/>
                      <w14:textFill>
                        <w14:solidFill>
                          <w14:schemeClr w14:val="tx1"/>
                        </w14:solidFill>
                      </w14:textFill>
                    </w:rPr>
                    <w:t>2.5</w:t>
                  </w:r>
                </w:p>
              </w:tc>
              <w:tc>
                <w:tcPr>
                  <w:tcW w:w="19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年平均质量浓度</w:t>
                  </w:r>
                </w:p>
              </w:tc>
              <w:tc>
                <w:tcPr>
                  <w:tcW w:w="72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30</w:t>
                  </w:r>
                </w:p>
              </w:tc>
              <w:tc>
                <w:tcPr>
                  <w:tcW w:w="71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35</w:t>
                  </w:r>
                </w:p>
              </w:tc>
              <w:tc>
                <w:tcPr>
                  <w:tcW w:w="5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85.71</w:t>
                  </w:r>
                </w:p>
              </w:tc>
              <w:tc>
                <w:tcPr>
                  <w:tcW w:w="57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53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C</w:t>
                  </w:r>
                  <w:r>
                    <w:rPr>
                      <w:rFonts w:hint="default" w:ascii="Times New Roman" w:hAnsi="Times New Roman" w:cs="Times New Roman"/>
                      <w:bCs/>
                      <w:color w:val="000000" w:themeColor="text1"/>
                      <w:sz w:val="21"/>
                      <w:szCs w:val="21"/>
                      <w:u w:val="single"/>
                      <w14:textFill>
                        <w14:solidFill>
                          <w14:schemeClr w14:val="tx1"/>
                        </w14:solidFill>
                      </w14:textFill>
                    </w:rPr>
                    <w:cr/>
                  </w:r>
                  <w:r>
                    <w:rPr>
                      <w:rFonts w:hint="default" w:ascii="Times New Roman" w:hAnsi="Times New Roman" w:cs="Times New Roman"/>
                      <w:bCs/>
                      <w:color w:val="000000" w:themeColor="text1"/>
                      <w:sz w:val="21"/>
                      <w:szCs w:val="21"/>
                      <w:u w:val="single"/>
                      <w14:textFill>
                        <w14:solidFill>
                          <w14:schemeClr w14:val="tx1"/>
                        </w14:solidFill>
                      </w14:textFill>
                    </w:rPr>
                    <w:t>O</w:t>
                  </w:r>
                </w:p>
              </w:tc>
              <w:tc>
                <w:tcPr>
                  <w:tcW w:w="19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24小时平均第95百分位数</w:t>
                  </w:r>
                </w:p>
              </w:tc>
              <w:tc>
                <w:tcPr>
                  <w:tcW w:w="72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900</w:t>
                  </w:r>
                </w:p>
              </w:tc>
              <w:tc>
                <w:tcPr>
                  <w:tcW w:w="71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4000</w:t>
                  </w:r>
                </w:p>
              </w:tc>
              <w:tc>
                <w:tcPr>
                  <w:tcW w:w="5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22.5</w:t>
                  </w:r>
                </w:p>
              </w:tc>
              <w:tc>
                <w:tcPr>
                  <w:tcW w:w="57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53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O</w:t>
                  </w:r>
                  <w:r>
                    <w:rPr>
                      <w:rFonts w:hint="default" w:ascii="Times New Roman" w:hAnsi="Times New Roman" w:cs="Times New Roman"/>
                      <w:bCs/>
                      <w:color w:val="000000" w:themeColor="text1"/>
                      <w:sz w:val="21"/>
                      <w:szCs w:val="21"/>
                      <w:u w:val="single"/>
                      <w:vertAlign w:val="subscript"/>
                      <w14:textFill>
                        <w14:solidFill>
                          <w14:schemeClr w14:val="tx1"/>
                        </w14:solidFill>
                      </w14:textFill>
                    </w:rPr>
                    <w:t>3</w:t>
                  </w:r>
                </w:p>
              </w:tc>
              <w:tc>
                <w:tcPr>
                  <w:tcW w:w="19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第90百分位数最大8h平均质量浓度</w:t>
                  </w:r>
                </w:p>
              </w:tc>
              <w:tc>
                <w:tcPr>
                  <w:tcW w:w="72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107</w:t>
                  </w:r>
                </w:p>
              </w:tc>
              <w:tc>
                <w:tcPr>
                  <w:tcW w:w="71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160</w:t>
                  </w:r>
                </w:p>
              </w:tc>
              <w:tc>
                <w:tcPr>
                  <w:tcW w:w="5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66.88</w:t>
                  </w:r>
                </w:p>
              </w:tc>
              <w:tc>
                <w:tcPr>
                  <w:tcW w:w="57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5000" w:type="pct"/>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bCs/>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备注：根据《环境空气质量评价技术规范（试行）》(HJ633-2013)，CO取城市日均值百分之95位数；臭氧取城市日最大8小时平均百分之90位数。</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kern w:val="0"/>
                <w:sz w:val="24"/>
                <w:highlight w:val="none"/>
                <w:lang w:bidi="ar"/>
                <w14:textFill>
                  <w14:solidFill>
                    <w14:schemeClr w14:val="tx1"/>
                  </w14:solidFill>
                </w14:textFill>
              </w:rPr>
            </w:pPr>
            <w:r>
              <w:rPr>
                <w:rFonts w:hint="default" w:ascii="Times New Roman" w:hAnsi="Times New Roman" w:cs="Times New Roman"/>
                <w:color w:val="000000" w:themeColor="text1"/>
                <w:sz w:val="24"/>
                <w:szCs w:val="24"/>
                <w:u w:val="single"/>
                <w14:textFill>
                  <w14:solidFill>
                    <w14:schemeClr w14:val="tx1"/>
                  </w14:solidFill>
                </w14:textFill>
              </w:rPr>
              <w:t>由上表可知，项目所在区域202</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2</w:t>
            </w:r>
            <w:r>
              <w:rPr>
                <w:rFonts w:hint="default" w:ascii="Times New Roman" w:hAnsi="Times New Roman" w:cs="Times New Roman"/>
                <w:color w:val="000000" w:themeColor="text1"/>
                <w:sz w:val="24"/>
                <w:szCs w:val="24"/>
                <w:u w:val="single"/>
                <w14:textFill>
                  <w14:solidFill>
                    <w14:schemeClr w14:val="tx1"/>
                  </w14:solidFill>
                </w14:textFill>
              </w:rPr>
              <w:t>年环境空气质量SO</w:t>
            </w:r>
            <w:r>
              <w:rPr>
                <w:rFonts w:hint="default" w:ascii="Times New Roman" w:hAnsi="Times New Roman" w:cs="Times New Roman"/>
                <w:color w:val="000000" w:themeColor="text1"/>
                <w:sz w:val="24"/>
                <w:szCs w:val="24"/>
                <w:u w:val="single"/>
                <w:vertAlign w:val="subscript"/>
                <w14:textFill>
                  <w14:solidFill>
                    <w14:schemeClr w14:val="tx1"/>
                  </w14:solidFill>
                </w14:textFill>
              </w:rPr>
              <w:t>2</w:t>
            </w:r>
            <w:r>
              <w:rPr>
                <w:rFonts w:hint="default" w:ascii="Times New Roman" w:hAnsi="Times New Roman" w:cs="Times New Roman"/>
                <w:color w:val="000000" w:themeColor="text1"/>
                <w:sz w:val="24"/>
                <w:szCs w:val="24"/>
                <w:u w:val="single"/>
                <w14:textFill>
                  <w14:solidFill>
                    <w14:schemeClr w14:val="tx1"/>
                  </w14:solidFill>
                </w14:textFill>
              </w:rPr>
              <w:t>、NO</w:t>
            </w:r>
            <w:r>
              <w:rPr>
                <w:rFonts w:hint="default" w:ascii="Times New Roman" w:hAnsi="Times New Roman" w:cs="Times New Roman"/>
                <w:color w:val="000000" w:themeColor="text1"/>
                <w:sz w:val="24"/>
                <w:szCs w:val="24"/>
                <w:u w:val="single"/>
                <w:vertAlign w:val="subscript"/>
                <w14:textFill>
                  <w14:solidFill>
                    <w14:schemeClr w14:val="tx1"/>
                  </w14:solidFill>
                </w14:textFill>
              </w:rPr>
              <w:t>2</w:t>
            </w:r>
            <w:r>
              <w:rPr>
                <w:rFonts w:hint="default" w:ascii="Times New Roman" w:hAnsi="Times New Roman" w:cs="Times New Roman"/>
                <w:color w:val="000000" w:themeColor="text1"/>
                <w:sz w:val="24"/>
                <w:szCs w:val="24"/>
                <w:u w:val="single"/>
                <w14:textFill>
                  <w14:solidFill>
                    <w14:schemeClr w14:val="tx1"/>
                  </w14:solidFill>
                </w14:textFill>
              </w:rPr>
              <w:t xml:space="preserve"> 、PM</w:t>
            </w:r>
            <w:r>
              <w:rPr>
                <w:rFonts w:hint="default" w:ascii="Times New Roman" w:hAnsi="Times New Roman" w:cs="Times New Roman"/>
                <w:color w:val="000000" w:themeColor="text1"/>
                <w:sz w:val="24"/>
                <w:szCs w:val="24"/>
                <w:u w:val="single"/>
                <w:vertAlign w:val="subscript"/>
                <w14:textFill>
                  <w14:solidFill>
                    <w14:schemeClr w14:val="tx1"/>
                  </w14:solidFill>
                </w14:textFill>
              </w:rPr>
              <w:t>10</w:t>
            </w:r>
            <w:r>
              <w:rPr>
                <w:rFonts w:hint="default" w:ascii="Times New Roman" w:hAnsi="Times New Roman" w:cs="Times New Roman"/>
                <w:color w:val="000000" w:themeColor="text1"/>
                <w:sz w:val="24"/>
                <w:szCs w:val="24"/>
                <w:u w:val="single"/>
                <w:vertAlign w:val="baseline"/>
                <w:lang w:eastAsia="zh-CN"/>
                <w14:textFill>
                  <w14:solidFill>
                    <w14:schemeClr w14:val="tx1"/>
                  </w14:solidFill>
                </w14:textFill>
              </w:rPr>
              <w:t>、</w:t>
            </w:r>
            <w:r>
              <w:rPr>
                <w:rFonts w:hint="default" w:ascii="Times New Roman" w:hAnsi="Times New Roman" w:cs="Times New Roman"/>
                <w:color w:val="000000" w:themeColor="text1"/>
                <w:sz w:val="24"/>
                <w:szCs w:val="24"/>
                <w:u w:val="single"/>
                <w14:textFill>
                  <w14:solidFill>
                    <w14:schemeClr w14:val="tx1"/>
                  </w14:solidFill>
                </w14:textFill>
              </w:rPr>
              <w:t>PM</w:t>
            </w:r>
            <w:r>
              <w:rPr>
                <w:rFonts w:hint="default" w:ascii="Times New Roman" w:hAnsi="Times New Roman" w:cs="Times New Roman"/>
                <w:color w:val="000000" w:themeColor="text1"/>
                <w:sz w:val="24"/>
                <w:szCs w:val="24"/>
                <w:u w:val="single"/>
                <w:vertAlign w:val="subscript"/>
                <w14:textFill>
                  <w14:solidFill>
                    <w14:schemeClr w14:val="tx1"/>
                  </w14:solidFill>
                </w14:textFill>
              </w:rPr>
              <w:t>2.5</w:t>
            </w:r>
            <w:r>
              <w:rPr>
                <w:rFonts w:hint="default" w:ascii="Times New Roman" w:hAnsi="Times New Roman" w:cs="Times New Roman"/>
                <w:color w:val="000000" w:themeColor="text1"/>
                <w:sz w:val="24"/>
                <w:szCs w:val="24"/>
                <w:u w:val="single"/>
                <w14:textFill>
                  <w14:solidFill>
                    <w14:schemeClr w14:val="tx1"/>
                  </w14:solidFill>
                </w14:textFill>
              </w:rPr>
              <w:t>的年平均浓度和CO的24小时平均浓度、O</w:t>
            </w:r>
            <w:r>
              <w:rPr>
                <w:rFonts w:hint="default" w:ascii="Times New Roman" w:hAnsi="Times New Roman" w:cs="Times New Roman"/>
                <w:color w:val="000000" w:themeColor="text1"/>
                <w:sz w:val="24"/>
                <w:szCs w:val="24"/>
                <w:u w:val="single"/>
                <w:vertAlign w:val="subscript"/>
                <w14:textFill>
                  <w14:solidFill>
                    <w14:schemeClr w14:val="tx1"/>
                  </w14:solidFill>
                </w14:textFill>
              </w:rPr>
              <w:t>3</w:t>
            </w:r>
            <w:r>
              <w:rPr>
                <w:rFonts w:hint="default" w:ascii="Times New Roman" w:hAnsi="Times New Roman" w:cs="Times New Roman"/>
                <w:color w:val="000000" w:themeColor="text1"/>
                <w:sz w:val="24"/>
                <w:szCs w:val="24"/>
                <w:u w:val="single"/>
                <w14:textFill>
                  <w14:solidFill>
                    <w14:schemeClr w14:val="tx1"/>
                  </w14:solidFill>
                </w14:textFill>
              </w:rPr>
              <w:t>的日最大8h平均浓度均可达到《环境空气质量标准》（GB3095-2012）中二级标准限值要求</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w:t>
            </w:r>
            <w:r>
              <w:rPr>
                <w:rFonts w:hint="default" w:ascii="Times New Roman" w:hAnsi="Times New Roman" w:cs="Times New Roman"/>
                <w:color w:val="000000" w:themeColor="text1"/>
                <w:sz w:val="24"/>
                <w:szCs w:val="24"/>
                <w:u w:val="single"/>
                <w14:textFill>
                  <w14:solidFill>
                    <w14:schemeClr w14:val="tx1"/>
                  </w14:solidFill>
                </w14:textFill>
              </w:rPr>
              <w:t>根据《环境影响评价技术导则大气环境》（HJ2.2-2018），判定本项目所在区域为达标区。</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000000" w:themeColor="text1"/>
                <w:kern w:val="0"/>
                <w:sz w:val="24"/>
                <w:highlight w:val="none"/>
                <w:lang w:bidi="ar"/>
                <w14:textFill>
                  <w14:solidFill>
                    <w14:schemeClr w14:val="tx1"/>
                  </w14:solidFill>
                </w14:textFill>
              </w:rPr>
            </w:pPr>
            <w:r>
              <w:rPr>
                <w:rFonts w:hint="default" w:ascii="Times New Roman" w:hAnsi="Times New Roman" w:cs="Times New Roman"/>
                <w:b/>
                <w:bCs/>
                <w:color w:val="000000" w:themeColor="text1"/>
                <w:kern w:val="0"/>
                <w:sz w:val="24"/>
                <w:highlight w:val="none"/>
                <w:lang w:val="en-US" w:eastAsia="zh-CN" w:bidi="ar"/>
                <w14:textFill>
                  <w14:solidFill>
                    <w14:schemeClr w14:val="tx1"/>
                  </w14:solidFill>
                </w14:textFill>
              </w:rPr>
              <w:t>3、</w:t>
            </w:r>
            <w:r>
              <w:rPr>
                <w:rFonts w:hint="default" w:ascii="Times New Roman" w:hAnsi="Times New Roman" w:cs="Times New Roman"/>
                <w:b/>
                <w:bCs/>
                <w:color w:val="000000" w:themeColor="text1"/>
                <w:kern w:val="0"/>
                <w:sz w:val="24"/>
                <w:highlight w:val="none"/>
                <w:lang w:bidi="ar"/>
                <w14:textFill>
                  <w14:solidFill>
                    <w14:schemeClr w14:val="tx1"/>
                  </w14:solidFill>
                </w14:textFill>
              </w:rPr>
              <w:t>地表水环境质量现状</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pPr>
            <w:bookmarkStart w:id="14" w:name="_Toc302340400"/>
            <w:r>
              <w:rPr>
                <w:rFonts w:hint="eastAsia" w:ascii="宋体" w:hAnsi="宋体" w:eastAsia="宋体"/>
                <w:color w:val="000000" w:themeColor="text1"/>
                <w:sz w:val="24"/>
                <w:szCs w:val="24"/>
                <w14:textFill>
                  <w14:solidFill>
                    <w14:schemeClr w14:val="tx1"/>
                  </w14:solidFill>
                </w14:textFill>
              </w:rPr>
              <w:t>经现场调查，</w:t>
            </w:r>
            <w:r>
              <w:rPr>
                <w:rFonts w:hint="eastAsia" w:ascii="宋体" w:hAnsi="宋体" w:eastAsia="宋体"/>
                <w:color w:val="000000" w:themeColor="text1"/>
                <w:sz w:val="24"/>
                <w:szCs w:val="24"/>
                <w:lang w:eastAsia="zh-CN"/>
                <w14:textFill>
                  <w14:solidFill>
                    <w14:schemeClr w14:val="tx1"/>
                  </w14:solidFill>
                </w14:textFill>
              </w:rPr>
              <w:t>升压站</w:t>
            </w:r>
            <w:r>
              <w:rPr>
                <w:rFonts w:hint="eastAsia" w:ascii="宋体" w:hAnsi="宋体"/>
                <w:color w:val="000000" w:themeColor="text1"/>
                <w:sz w:val="24"/>
                <w:szCs w:val="24"/>
                <w:lang w:eastAsia="zh-CN"/>
                <w14:textFill>
                  <w14:solidFill>
                    <w14:schemeClr w14:val="tx1"/>
                  </w14:solidFill>
                </w14:textFill>
              </w:rPr>
              <w:t>场址</w:t>
            </w:r>
            <w:r>
              <w:rPr>
                <w:rFonts w:hint="eastAsia" w:ascii="宋体" w:hAnsi="宋体" w:eastAsia="宋体"/>
                <w:color w:val="000000" w:themeColor="text1"/>
                <w:sz w:val="24"/>
                <w:szCs w:val="24"/>
                <w14:textFill>
                  <w14:solidFill>
                    <w14:schemeClr w14:val="tx1"/>
                  </w14:solidFill>
                </w14:textFill>
              </w:rPr>
              <w:t>周围无地表水体。</w:t>
            </w:r>
          </w:p>
          <w:bookmarkEnd w:id="14"/>
          <w:p>
            <w:pPr>
              <w:keepNext w:val="0"/>
              <w:keepLines w:val="0"/>
              <w:widowControl/>
              <w:suppressLineNumbers w:val="0"/>
              <w:spacing w:before="0" w:beforeAutospacing="0" w:after="0" w:afterAutospacing="0" w:line="360" w:lineRule="auto"/>
              <w:ind w:left="420" w:leftChars="200" w:right="0"/>
              <w:jc w:val="left"/>
              <w:rPr>
                <w:rFonts w:hint="default" w:ascii="Times New Roman" w:hAnsi="Times New Roman" w:cs="Times New Roman"/>
                <w:b/>
                <w:bCs/>
                <w:color w:val="000000" w:themeColor="text1"/>
                <w:kern w:val="0"/>
                <w:sz w:val="24"/>
                <w:highlight w:val="none"/>
                <w:lang w:bidi="ar"/>
                <w14:textFill>
                  <w14:solidFill>
                    <w14:schemeClr w14:val="tx1"/>
                  </w14:solidFill>
                </w14:textFill>
              </w:rPr>
            </w:pPr>
            <w:r>
              <w:rPr>
                <w:rFonts w:hint="default" w:ascii="Times New Roman" w:hAnsi="Times New Roman" w:cs="Times New Roman"/>
                <w:b/>
                <w:bCs/>
                <w:color w:val="000000" w:themeColor="text1"/>
                <w:kern w:val="0"/>
                <w:sz w:val="24"/>
                <w:highlight w:val="none"/>
                <w:lang w:val="en-US" w:eastAsia="zh-CN" w:bidi="ar"/>
                <w14:textFill>
                  <w14:solidFill>
                    <w14:schemeClr w14:val="tx1"/>
                  </w14:solidFill>
                </w14:textFill>
              </w:rPr>
              <w:t>4、</w:t>
            </w:r>
            <w:r>
              <w:rPr>
                <w:rFonts w:hint="default" w:ascii="Times New Roman" w:hAnsi="Times New Roman" w:cs="Times New Roman"/>
                <w:b/>
                <w:bCs/>
                <w:color w:val="000000" w:themeColor="text1"/>
                <w:kern w:val="0"/>
                <w:sz w:val="24"/>
                <w:highlight w:val="none"/>
                <w:lang w:bidi="ar"/>
                <w14:textFill>
                  <w14:solidFill>
                    <w14:schemeClr w14:val="tx1"/>
                  </w14:solidFill>
                </w14:textFill>
              </w:rPr>
              <w:t>声环境质量现状</w:t>
            </w:r>
          </w:p>
          <w:p>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为进一步了解项目区声环境质量现状，</w:t>
            </w:r>
            <w:r>
              <w:rPr>
                <w:rFonts w:hint="default" w:ascii="Times New Roman" w:hAnsi="Times New Roman" w:cs="Times New Roman"/>
                <w:color w:val="000000" w:themeColor="text1"/>
                <w:sz w:val="24"/>
                <w:highlight w:val="none"/>
                <w:lang w:val="en-US" w:eastAsia="zh-CN"/>
                <w14:textFill>
                  <w14:solidFill>
                    <w14:schemeClr w14:val="tx1"/>
                  </w14:solidFill>
                </w14:textFill>
              </w:rPr>
              <w:t>本次评价</w:t>
            </w:r>
            <w:r>
              <w:rPr>
                <w:rFonts w:hint="default" w:ascii="Times New Roman" w:hAnsi="Times New Roman" w:cs="Times New Roman"/>
                <w:color w:val="000000" w:themeColor="text1"/>
                <w:sz w:val="24"/>
                <w:highlight w:val="none"/>
                <w14:textFill>
                  <w14:solidFill>
                    <w14:schemeClr w14:val="tx1"/>
                  </w14:solidFill>
                </w14:textFill>
              </w:rPr>
              <w:t>委托</w:t>
            </w:r>
            <w:r>
              <w:rPr>
                <w:rFonts w:hint="default" w:ascii="Times New Roman" w:hAnsi="Times New Roman" w:eastAsia="宋体" w:cs="Times New Roman"/>
                <w:color w:val="000000" w:themeColor="text1"/>
                <w:kern w:val="2"/>
                <w:sz w:val="24"/>
                <w:szCs w:val="24"/>
                <w:u w:val="none"/>
                <w:shd w:val="clear" w:color="auto" w:fill="auto"/>
                <w:lang w:val="en-US" w:eastAsia="zh-CN" w:bidi="ar-SA"/>
                <w14:textFill>
                  <w14:solidFill>
                    <w14:schemeClr w14:val="tx1"/>
                  </w14:solidFill>
                </w14:textFill>
              </w:rPr>
              <w:t>湖南谱实检测技术有限公司</w:t>
            </w:r>
            <w:r>
              <w:rPr>
                <w:rFonts w:hint="default" w:ascii="Times New Roman" w:hAnsi="Times New Roman" w:cs="Times New Roman"/>
                <w:color w:val="000000" w:themeColor="text1"/>
                <w:sz w:val="24"/>
                <w:highlight w:val="none"/>
                <w14:textFill>
                  <w14:solidFill>
                    <w14:schemeClr w14:val="tx1"/>
                  </w14:solidFill>
                </w14:textFill>
              </w:rPr>
              <w:t>于202</w:t>
            </w:r>
            <w:r>
              <w:rPr>
                <w:rFonts w:hint="default" w:ascii="Times New Roman" w:hAnsi="Times New Roman"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 xml:space="preserve"> 年</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月</w:t>
            </w:r>
            <w:r>
              <w:rPr>
                <w:rFonts w:hint="eastAsia" w:cs="Times New Roman"/>
                <w:color w:val="000000" w:themeColor="text1"/>
                <w:sz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highlight w:val="none"/>
                <w:lang w:val="en-US" w:eastAsia="zh-CN"/>
                <w14:textFill>
                  <w14:solidFill>
                    <w14:schemeClr w14:val="tx1"/>
                  </w14:solidFill>
                </w14:textFill>
              </w:rPr>
              <w:t>日</w:t>
            </w:r>
            <w:r>
              <w:rPr>
                <w:rFonts w:hint="default" w:ascii="Times New Roman" w:hAnsi="Times New Roman" w:cs="Times New Roman"/>
                <w:color w:val="000000" w:themeColor="text1"/>
                <w:sz w:val="24"/>
                <w:highlight w:val="none"/>
                <w14:textFill>
                  <w14:solidFill>
                    <w14:schemeClr w14:val="tx1"/>
                  </w14:solidFill>
                </w14:textFill>
              </w:rPr>
              <w:t>对</w:t>
            </w:r>
            <w:r>
              <w:rPr>
                <w:rFonts w:hint="eastAsia" w:cs="Times New Roman"/>
                <w:b w:val="0"/>
                <w:bCs w:val="0"/>
                <w:color w:val="000000" w:themeColor="text1"/>
                <w:kern w:val="0"/>
                <w:sz w:val="24"/>
                <w:highlight w:val="none"/>
                <w:lang w:val="en-US" w:eastAsia="zh-CN" w:bidi="ar"/>
                <w14:textFill>
                  <w14:solidFill>
                    <w14:schemeClr w14:val="tx1"/>
                  </w14:solidFill>
                </w14:textFill>
              </w:rPr>
              <w:t>升压站各厂界</w:t>
            </w:r>
            <w:r>
              <w:rPr>
                <w:rFonts w:hint="default" w:ascii="Times New Roman" w:hAnsi="Times New Roman" w:eastAsia="宋体" w:cs="Times New Roman"/>
                <w:color w:val="000000" w:themeColor="text1"/>
                <w:sz w:val="24"/>
                <w:szCs w:val="24"/>
                <w14:textFill>
                  <w14:solidFill>
                    <w14:schemeClr w14:val="tx1"/>
                  </w14:solidFill>
                </w14:textFill>
              </w:rPr>
              <w:t>噪声进行了监测，项目现状监测点位示意图见附图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，监测结果见下表。</w:t>
            </w:r>
          </w:p>
          <w:p>
            <w:pPr>
              <w:keepNext w:val="0"/>
              <w:keepLines w:val="0"/>
              <w:suppressLineNumbers w:val="0"/>
              <w:tabs>
                <w:tab w:val="left" w:pos="420"/>
              </w:tabs>
              <w:spacing w:before="0" w:beforeAutospacing="0" w:after="0" w:afterAutospacing="0"/>
              <w:ind w:left="0" w:right="-643" w:rightChars="-306"/>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表3-</w:t>
            </w:r>
            <w:r>
              <w:rPr>
                <w:rFonts w:hint="eastAsia" w:cs="Times New Roman"/>
                <w:b/>
                <w:bCs/>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b/>
                <w:bCs/>
                <w:color w:val="000000" w:themeColor="text1"/>
                <w:sz w:val="21"/>
                <w:szCs w:val="21"/>
                <w:highlight w:val="none"/>
                <w14:textFill>
                  <w14:solidFill>
                    <w14:schemeClr w14:val="tx1"/>
                  </w14:solidFill>
                </w14:textFill>
              </w:rPr>
              <w:t xml:space="preserve"> </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highlight w:val="none"/>
                <w14:textFill>
                  <w14:solidFill>
                    <w14:schemeClr w14:val="tx1"/>
                  </w14:solidFill>
                </w14:textFill>
              </w:rPr>
              <w:t>噪声监测结果</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highlight w:val="none"/>
                <w14:textFill>
                  <w14:solidFill>
                    <w14:schemeClr w14:val="tx1"/>
                  </w14:solidFill>
                </w14:textFill>
              </w:rPr>
              <w:t>单位：dB（A）</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2337"/>
              <w:gridCol w:w="1150"/>
              <w:gridCol w:w="1288"/>
              <w:gridCol w:w="1496"/>
              <w:gridCol w:w="1758"/>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62" w:hRule="atLeast"/>
                <w:jc w:val="center"/>
              </w:trPr>
              <w:tc>
                <w:tcPr>
                  <w:tcW w:w="1455" w:type="pct"/>
                  <w:vMerge w:val="restart"/>
                  <w:tcBorders>
                    <w:right w:val="single" w:color="auto" w:sz="4" w:space="0"/>
                    <w:tl2br w:val="nil"/>
                    <w:tr2bl w:val="nil"/>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检测点位</w:t>
                  </w:r>
                </w:p>
              </w:tc>
              <w:tc>
                <w:tcPr>
                  <w:tcW w:w="716" w:type="pct"/>
                  <w:vMerge w:val="restart"/>
                  <w:tcBorders>
                    <w:left w:val="single" w:color="auto" w:sz="4" w:space="0"/>
                    <w:tl2br w:val="nil"/>
                    <w:tr2bl w:val="nil"/>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检测日期</w:t>
                  </w:r>
                </w:p>
              </w:tc>
              <w:tc>
                <w:tcPr>
                  <w:tcW w:w="1733" w:type="pct"/>
                  <w:gridSpan w:val="2"/>
                  <w:tcBorders>
                    <w:right w:val="single" w:color="auto" w:sz="4" w:space="0"/>
                    <w:tl2br w:val="nil"/>
                    <w:tr2bl w:val="nil"/>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检测结果</w:t>
                  </w:r>
                </w:p>
              </w:tc>
              <w:tc>
                <w:tcPr>
                  <w:tcW w:w="1094" w:type="pct"/>
                  <w:vMerge w:val="restart"/>
                  <w:tcBorders>
                    <w:tl2br w:val="nil"/>
                    <w:tr2bl w:val="nil"/>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标准限值</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vMerge w:val="continue"/>
                  <w:tcBorders>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16" w:type="pct"/>
                  <w:vMerge w:val="continue"/>
                  <w:tcBorders>
                    <w:lef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02" w:type="pct"/>
                  <w:tcBorders>
                    <w:tl2br w:val="nil"/>
                    <w:tr2bl w:val="nil"/>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昼间</w:t>
                  </w:r>
                </w:p>
              </w:tc>
              <w:tc>
                <w:tcPr>
                  <w:tcW w:w="931" w:type="pct"/>
                  <w:tcBorders>
                    <w:tl2br w:val="nil"/>
                    <w:tr2bl w:val="nil"/>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夜间</w:t>
                  </w:r>
                </w:p>
              </w:tc>
              <w:tc>
                <w:tcPr>
                  <w:tcW w:w="1094" w:type="pct"/>
                  <w:vMerge w:val="continue"/>
                  <w:tcBorders>
                    <w:tl2br w:val="nil"/>
                    <w:tr2bl w:val="nil"/>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40" w:hRule="atLeast"/>
                <w:jc w:val="center"/>
              </w:trPr>
              <w:tc>
                <w:tcPr>
                  <w:tcW w:w="1455" w:type="pct"/>
                  <w:tcBorders>
                    <w:righ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themeColor="text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N1</w:t>
                  </w:r>
                  <w:r>
                    <w:rPr>
                      <w:rFonts w:hint="eastAsia"/>
                      <w:color w:val="000000" w:themeColor="text1"/>
                      <w:szCs w:val="21"/>
                      <w:lang w:eastAsia="zh-CN"/>
                      <w14:textFill>
                        <w14:solidFill>
                          <w14:schemeClr w14:val="tx1"/>
                        </w14:solidFill>
                      </w14:textFill>
                    </w:rPr>
                    <w:t>东侧厂界外</w:t>
                  </w:r>
                  <w:r>
                    <w:rPr>
                      <w:rFonts w:hint="eastAsia"/>
                      <w:color w:val="000000" w:themeColor="text1"/>
                      <w:szCs w:val="21"/>
                      <w:lang w:val="en-US" w:eastAsia="zh-CN"/>
                      <w14:textFill>
                        <w14:solidFill>
                          <w14:schemeClr w14:val="tx1"/>
                        </w14:solidFill>
                      </w14:textFill>
                    </w:rPr>
                    <w:t>1m</w:t>
                  </w:r>
                </w:p>
              </w:tc>
              <w:tc>
                <w:tcPr>
                  <w:tcW w:w="716" w:type="pct"/>
                  <w:vMerge w:val="restart"/>
                  <w:tcBorders>
                    <w:lef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2023年5月8日</w:t>
                  </w:r>
                </w:p>
              </w:tc>
              <w:tc>
                <w:tcPr>
                  <w:tcW w:w="802" w:type="pct"/>
                  <w:tcBorders>
                    <w:tl2br w:val="nil"/>
                    <w:tr2bl w:val="nil"/>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51</w:t>
                  </w:r>
                </w:p>
              </w:tc>
              <w:tc>
                <w:tcPr>
                  <w:tcW w:w="931" w:type="pct"/>
                  <w:tcBorders>
                    <w:tl2br w:val="nil"/>
                    <w:tr2bl w:val="nil"/>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w:t>
                  </w: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1094" w:type="pct"/>
                  <w:vMerge w:val="restart"/>
                  <w:tcBorders>
                    <w:tl2br w:val="nil"/>
                    <w:tr2bl w:val="nil"/>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昼间</w:t>
                  </w:r>
                  <w:r>
                    <w:rPr>
                      <w:rFonts w:hint="eastAsia" w:ascii="Times New Roman" w:hAnsi="Times New Roman" w:cs="Times New Roman"/>
                      <w:color w:val="000000" w:themeColor="text1"/>
                      <w:sz w:val="21"/>
                      <w:szCs w:val="21"/>
                      <w:lang w:val="en-US" w:eastAsia="zh-CN"/>
                      <w14:textFill>
                        <w14:solidFill>
                          <w14:schemeClr w14:val="tx1"/>
                        </w14:solidFill>
                      </w14:textFill>
                    </w:rPr>
                    <w:t>60</w:t>
                  </w:r>
                </w:p>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夜间</w:t>
                  </w:r>
                  <w:r>
                    <w:rPr>
                      <w:rFonts w:hint="eastAsia" w:ascii="Times New Roman" w:hAnsi="Times New Roman" w:cs="Times New Roman"/>
                      <w:color w:val="000000" w:themeColor="text1"/>
                      <w:sz w:val="21"/>
                      <w:szCs w:val="21"/>
                      <w:lang w:val="en-US" w:eastAsia="zh-CN"/>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40" w:hRule="atLeast"/>
                <w:jc w:val="center"/>
              </w:trPr>
              <w:tc>
                <w:tcPr>
                  <w:tcW w:w="1455" w:type="pct"/>
                  <w:tcBorders>
                    <w:righ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N2</w:t>
                  </w:r>
                  <w:r>
                    <w:rPr>
                      <w:rFonts w:hint="eastAsia"/>
                      <w:color w:val="000000" w:themeColor="text1"/>
                      <w:szCs w:val="21"/>
                      <w:lang w:eastAsia="zh-CN"/>
                      <w14:textFill>
                        <w14:solidFill>
                          <w14:schemeClr w14:val="tx1"/>
                        </w14:solidFill>
                      </w14:textFill>
                    </w:rPr>
                    <w:t>南侧厂界外</w:t>
                  </w:r>
                  <w:r>
                    <w:rPr>
                      <w:rFonts w:hint="eastAsia"/>
                      <w:color w:val="000000" w:themeColor="text1"/>
                      <w:szCs w:val="21"/>
                      <w:lang w:val="en-US" w:eastAsia="zh-CN"/>
                      <w14:textFill>
                        <w14:solidFill>
                          <w14:schemeClr w14:val="tx1"/>
                        </w14:solidFill>
                      </w14:textFill>
                    </w:rPr>
                    <w:t>1m</w:t>
                  </w:r>
                </w:p>
              </w:tc>
              <w:tc>
                <w:tcPr>
                  <w:tcW w:w="716" w:type="pct"/>
                  <w:vMerge w:val="continue"/>
                  <w:tcBorders>
                    <w:lef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themeColor="text1"/>
                      <w:szCs w:val="21"/>
                      <w:lang w:eastAsia="zh-CN"/>
                      <w14:textFill>
                        <w14:solidFill>
                          <w14:schemeClr w14:val="tx1"/>
                        </w14:solidFill>
                      </w14:textFill>
                    </w:rPr>
                  </w:pPr>
                </w:p>
              </w:tc>
              <w:tc>
                <w:tcPr>
                  <w:tcW w:w="802" w:type="pct"/>
                  <w:tcBorders>
                    <w:tl2br w:val="nil"/>
                    <w:tr2bl w:val="nil"/>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50</w:t>
                  </w:r>
                </w:p>
              </w:tc>
              <w:tc>
                <w:tcPr>
                  <w:tcW w:w="931" w:type="pct"/>
                  <w:tcBorders>
                    <w:tl2br w:val="nil"/>
                    <w:tr2bl w:val="nil"/>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40</w:t>
                  </w:r>
                </w:p>
              </w:tc>
              <w:tc>
                <w:tcPr>
                  <w:tcW w:w="1094"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40" w:hRule="atLeast"/>
                <w:jc w:val="center"/>
              </w:trPr>
              <w:tc>
                <w:tcPr>
                  <w:tcW w:w="1455" w:type="pct"/>
                  <w:tcBorders>
                    <w:righ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N3</w:t>
                  </w:r>
                  <w:r>
                    <w:rPr>
                      <w:rFonts w:hint="eastAsia"/>
                      <w:color w:val="000000" w:themeColor="text1"/>
                      <w:szCs w:val="21"/>
                      <w:lang w:eastAsia="zh-CN"/>
                      <w14:textFill>
                        <w14:solidFill>
                          <w14:schemeClr w14:val="tx1"/>
                        </w14:solidFill>
                      </w14:textFill>
                    </w:rPr>
                    <w:t>西侧厂界外</w:t>
                  </w:r>
                  <w:r>
                    <w:rPr>
                      <w:rFonts w:hint="eastAsia"/>
                      <w:color w:val="000000" w:themeColor="text1"/>
                      <w:szCs w:val="21"/>
                      <w:lang w:val="en-US" w:eastAsia="zh-CN"/>
                      <w14:textFill>
                        <w14:solidFill>
                          <w14:schemeClr w14:val="tx1"/>
                        </w14:solidFill>
                      </w14:textFill>
                    </w:rPr>
                    <w:t>1m</w:t>
                  </w:r>
                </w:p>
              </w:tc>
              <w:tc>
                <w:tcPr>
                  <w:tcW w:w="716" w:type="pct"/>
                  <w:vMerge w:val="continue"/>
                  <w:tcBorders>
                    <w:lef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themeColor="text1"/>
                      <w:szCs w:val="21"/>
                      <w:lang w:eastAsia="zh-CN"/>
                      <w14:textFill>
                        <w14:solidFill>
                          <w14:schemeClr w14:val="tx1"/>
                        </w14:solidFill>
                      </w14:textFill>
                    </w:rPr>
                  </w:pPr>
                </w:p>
              </w:tc>
              <w:tc>
                <w:tcPr>
                  <w:tcW w:w="802" w:type="pct"/>
                  <w:tcBorders>
                    <w:tl2br w:val="nil"/>
                    <w:tr2bl w:val="nil"/>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51</w:t>
                  </w:r>
                </w:p>
              </w:tc>
              <w:tc>
                <w:tcPr>
                  <w:tcW w:w="931" w:type="pct"/>
                  <w:tcBorders>
                    <w:tl2br w:val="nil"/>
                    <w:tr2bl w:val="nil"/>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41</w:t>
                  </w:r>
                </w:p>
              </w:tc>
              <w:tc>
                <w:tcPr>
                  <w:tcW w:w="1094"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40" w:hRule="atLeast"/>
                <w:jc w:val="center"/>
              </w:trPr>
              <w:tc>
                <w:tcPr>
                  <w:tcW w:w="1455" w:type="pct"/>
                  <w:tcBorders>
                    <w:righ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N4</w:t>
                  </w:r>
                  <w:r>
                    <w:rPr>
                      <w:rFonts w:hint="eastAsia"/>
                      <w:color w:val="000000" w:themeColor="text1"/>
                      <w:szCs w:val="21"/>
                      <w:lang w:eastAsia="zh-CN"/>
                      <w14:textFill>
                        <w14:solidFill>
                          <w14:schemeClr w14:val="tx1"/>
                        </w14:solidFill>
                      </w14:textFill>
                    </w:rPr>
                    <w:t>北侧厂界外</w:t>
                  </w:r>
                  <w:r>
                    <w:rPr>
                      <w:rFonts w:hint="eastAsia"/>
                      <w:color w:val="000000" w:themeColor="text1"/>
                      <w:szCs w:val="21"/>
                      <w:lang w:val="en-US" w:eastAsia="zh-CN"/>
                      <w14:textFill>
                        <w14:solidFill>
                          <w14:schemeClr w14:val="tx1"/>
                        </w14:solidFill>
                      </w14:textFill>
                    </w:rPr>
                    <w:t>1m</w:t>
                  </w:r>
                </w:p>
              </w:tc>
              <w:tc>
                <w:tcPr>
                  <w:tcW w:w="716" w:type="pct"/>
                  <w:vMerge w:val="continue"/>
                  <w:tcBorders>
                    <w:lef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themeColor="text1"/>
                      <w:szCs w:val="21"/>
                      <w:lang w:eastAsia="zh-CN"/>
                      <w14:textFill>
                        <w14:solidFill>
                          <w14:schemeClr w14:val="tx1"/>
                        </w14:solidFill>
                      </w14:textFill>
                    </w:rPr>
                  </w:pPr>
                </w:p>
              </w:tc>
              <w:tc>
                <w:tcPr>
                  <w:tcW w:w="802" w:type="pct"/>
                  <w:tcBorders>
                    <w:tl2br w:val="nil"/>
                    <w:tr2bl w:val="nil"/>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52</w:t>
                  </w:r>
                </w:p>
              </w:tc>
              <w:tc>
                <w:tcPr>
                  <w:tcW w:w="931" w:type="pct"/>
                  <w:tcBorders>
                    <w:tl2br w:val="nil"/>
                    <w:tr2bl w:val="nil"/>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w:t>
                  </w: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1094"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default" w:ascii="Times New Roman" w:hAnsi="Times New Roman" w:cs="Times New Roman"/>
                <w:b w:val="0"/>
                <w:bCs w:val="0"/>
                <w:color w:val="000000" w:themeColor="text1"/>
                <w:kern w:val="0"/>
                <w:sz w:val="24"/>
                <w:highlight w:val="none"/>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highlight w:val="none"/>
                <w:lang w:val="en-US" w:eastAsia="zh-CN" w:bidi="ar"/>
                <w14:textFill>
                  <w14:solidFill>
                    <w14:schemeClr w14:val="tx1"/>
                  </w14:solidFill>
                </w14:textFill>
              </w:rPr>
              <w:t>由上表可知，项目</w:t>
            </w:r>
            <w:r>
              <w:rPr>
                <w:rFonts w:hint="eastAsia" w:cs="Times New Roman"/>
                <w:b w:val="0"/>
                <w:bCs w:val="0"/>
                <w:color w:val="000000" w:themeColor="text1"/>
                <w:kern w:val="0"/>
                <w:sz w:val="24"/>
                <w:highlight w:val="none"/>
                <w:lang w:val="en-US" w:eastAsia="zh-CN" w:bidi="ar"/>
                <w14:textFill>
                  <w14:solidFill>
                    <w14:schemeClr w14:val="tx1"/>
                  </w14:solidFill>
                </w14:textFill>
              </w:rPr>
              <w:t>升压站南面、</w:t>
            </w:r>
            <w:r>
              <w:rPr>
                <w:rFonts w:hint="default" w:ascii="Times New Roman" w:hAnsi="Times New Roman" w:eastAsia="宋体" w:cs="Times New Roman"/>
                <w:color w:val="000000" w:themeColor="text1"/>
                <w:spacing w:val="0"/>
                <w:kern w:val="0"/>
                <w:sz w:val="24"/>
                <w14:textFill>
                  <w14:solidFill>
                    <w14:schemeClr w14:val="tx1"/>
                  </w14:solidFill>
                </w14:textFill>
              </w:rPr>
              <w:t>北面、西面、东面</w:t>
            </w:r>
            <w:r>
              <w:rPr>
                <w:rFonts w:hint="eastAsia" w:ascii="Times New Roman" w:hAnsi="Times New Roman" w:eastAsia="宋体" w:cs="Times New Roman"/>
                <w:color w:val="000000" w:themeColor="text1"/>
                <w:spacing w:val="0"/>
                <w:kern w:val="0"/>
                <w:sz w:val="24"/>
                <w:lang w:eastAsia="zh-CN"/>
                <w14:textFill>
                  <w14:solidFill>
                    <w14:schemeClr w14:val="tx1"/>
                  </w14:solidFill>
                </w14:textFill>
              </w:rPr>
              <w:t>厂界监测点</w:t>
            </w:r>
            <w:r>
              <w:rPr>
                <w:rFonts w:hint="default" w:ascii="Times New Roman" w:hAnsi="Times New Roman" w:cs="Times New Roman"/>
                <w:b w:val="0"/>
                <w:bCs w:val="0"/>
                <w:color w:val="000000" w:themeColor="text1"/>
                <w:kern w:val="0"/>
                <w:sz w:val="24"/>
                <w:highlight w:val="none"/>
                <w:lang w:val="en-US" w:eastAsia="zh-CN" w:bidi="ar"/>
                <w14:textFill>
                  <w14:solidFill>
                    <w14:schemeClr w14:val="tx1"/>
                  </w14:solidFill>
                </w14:textFill>
              </w:rPr>
              <w:t>昼间、夜间噪声</w:t>
            </w:r>
            <w:r>
              <w:rPr>
                <w:rFonts w:hint="eastAsia" w:cs="Times New Roman"/>
                <w:b w:val="0"/>
                <w:bCs w:val="0"/>
                <w:color w:val="000000" w:themeColor="text1"/>
                <w:kern w:val="0"/>
                <w:sz w:val="24"/>
                <w:highlight w:val="none"/>
                <w:lang w:val="en-US" w:eastAsia="zh-CN" w:bidi="ar"/>
                <w14:textFill>
                  <w14:solidFill>
                    <w14:schemeClr w14:val="tx1"/>
                  </w14:solidFill>
                </w14:textFill>
              </w:rPr>
              <w:t>均</w:t>
            </w:r>
            <w:r>
              <w:rPr>
                <w:rFonts w:hint="default" w:ascii="Times New Roman" w:hAnsi="Times New Roman" w:cs="Times New Roman"/>
                <w:b w:val="0"/>
                <w:bCs w:val="0"/>
                <w:color w:val="000000" w:themeColor="text1"/>
                <w:kern w:val="0"/>
                <w:sz w:val="24"/>
                <w:highlight w:val="none"/>
                <w:lang w:val="en-US" w:eastAsia="zh-CN" w:bidi="ar"/>
                <w14:textFill>
                  <w14:solidFill>
                    <w14:schemeClr w14:val="tx1"/>
                  </w14:solidFill>
                </w14:textFill>
              </w:rPr>
              <w:t>可达到《声环境质量标准》（GB 3096-2008）</w:t>
            </w:r>
            <w:r>
              <w:rPr>
                <w:rFonts w:hint="eastAsia" w:cs="Times New Roman"/>
                <w:b w:val="0"/>
                <w:bCs w:val="0"/>
                <w:color w:val="000000" w:themeColor="text1"/>
                <w:kern w:val="0"/>
                <w:sz w:val="24"/>
                <w:highlight w:val="none"/>
                <w:lang w:val="en-US" w:eastAsia="zh-CN" w:bidi="ar"/>
                <w14:textFill>
                  <w14:solidFill>
                    <w14:schemeClr w14:val="tx1"/>
                  </w14:solidFill>
                </w14:textFill>
              </w:rPr>
              <w:t>2</w:t>
            </w:r>
            <w:r>
              <w:rPr>
                <w:rFonts w:hint="default" w:ascii="Times New Roman" w:hAnsi="Times New Roman" w:cs="Times New Roman"/>
                <w:b w:val="0"/>
                <w:bCs w:val="0"/>
                <w:color w:val="000000" w:themeColor="text1"/>
                <w:kern w:val="0"/>
                <w:sz w:val="24"/>
                <w:highlight w:val="none"/>
                <w:lang w:val="en-US" w:eastAsia="zh-CN" w:bidi="ar"/>
                <w14:textFill>
                  <w14:solidFill>
                    <w14:schemeClr w14:val="tx1"/>
                  </w14:solidFill>
                </w14:textFill>
              </w:rPr>
              <w:t xml:space="preserve"> 类区噪声限值要求，区域声环境质量现状良好。</w:t>
            </w:r>
          </w:p>
          <w:p>
            <w:pPr>
              <w:keepNext w:val="0"/>
              <w:keepLines w:val="0"/>
              <w:widowControl/>
              <w:suppressLineNumbers w:val="0"/>
              <w:spacing w:before="0" w:beforeAutospacing="0" w:after="0" w:afterAutospacing="0" w:line="360" w:lineRule="auto"/>
              <w:ind w:left="420" w:leftChars="200" w:right="0"/>
              <w:jc w:val="left"/>
              <w:rPr>
                <w:rFonts w:hint="default" w:ascii="Times New Roman" w:hAnsi="Times New Roman" w:eastAsia="宋体" w:cs="Times New Roman"/>
                <w:b/>
                <w:bCs/>
                <w:color w:val="000000" w:themeColor="text1"/>
                <w:kern w:val="0"/>
                <w:sz w:val="24"/>
                <w:highlight w:val="none"/>
                <w:lang w:val="en-US" w:eastAsia="zh-CN" w:bidi="ar"/>
                <w14:textFill>
                  <w14:solidFill>
                    <w14:schemeClr w14:val="tx1"/>
                  </w14:solidFill>
                </w14:textFill>
              </w:rPr>
            </w:pPr>
            <w:r>
              <w:rPr>
                <w:rFonts w:hint="default" w:ascii="Times New Roman" w:hAnsi="Times New Roman" w:cs="Times New Roman"/>
                <w:b/>
                <w:bCs/>
                <w:color w:val="000000" w:themeColor="text1"/>
                <w:kern w:val="0"/>
                <w:sz w:val="24"/>
                <w:highlight w:val="none"/>
                <w:lang w:val="en-US" w:eastAsia="zh-CN" w:bidi="ar"/>
                <w14:textFill>
                  <w14:solidFill>
                    <w14:schemeClr w14:val="tx1"/>
                  </w14:solidFill>
                </w14:textFill>
              </w:rPr>
              <w:t>5、电磁环境质量现状</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本次评价</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委托</w:t>
            </w:r>
            <w:r>
              <w:rPr>
                <w:rFonts w:hint="default" w:ascii="Times New Roman" w:hAnsi="Times New Roman" w:eastAsia="宋体" w:cs="Times New Roman"/>
                <w:color w:val="000000" w:themeColor="text1"/>
                <w:kern w:val="2"/>
                <w:sz w:val="24"/>
                <w:szCs w:val="24"/>
                <w:u w:val="none"/>
                <w:shd w:val="clear" w:color="auto" w:fill="auto"/>
                <w:lang w:val="en-US" w:eastAsia="zh-CN" w:bidi="ar-SA"/>
                <w14:textFill>
                  <w14:solidFill>
                    <w14:schemeClr w14:val="tx1"/>
                  </w14:solidFill>
                </w14:textFill>
              </w:rPr>
              <w:t>湖南谱实检测技术有限公司</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于202</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 xml:space="preserve"> 年</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 xml:space="preserve"> 月1</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 xml:space="preserve"> 日对升压站拟建场址进行电磁环境现状监测，项目区域电磁环境现状监测结果见表3-</w:t>
            </w:r>
            <w:r>
              <w:rPr>
                <w:rFonts w:hint="eastAsia" w:cs="Times New Roman"/>
                <w:color w:val="000000" w:themeColor="text1"/>
                <w:kern w:val="0"/>
                <w:sz w:val="24"/>
                <w:highlight w:val="none"/>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w:t>
            </w:r>
          </w:p>
          <w:p>
            <w:pPr>
              <w:pStyle w:val="10"/>
              <w:keepNext w:val="0"/>
              <w:keepLines w:val="0"/>
              <w:pageBreakBefore w:val="0"/>
              <w:widowControl w:val="0"/>
              <w:suppressLineNumbers w:val="0"/>
              <w:tabs>
                <w:tab w:val="left" w:pos="866"/>
              </w:tabs>
              <w:kinsoku w:val="0"/>
              <w:wordWrap/>
              <w:overflowPunct w:val="0"/>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3-</w:t>
            </w:r>
            <w:r>
              <w:rPr>
                <w:rFonts w:hint="eastAsia" w:cs="Times New Roman"/>
                <w:b/>
                <w:color w:val="000000" w:themeColor="text1"/>
                <w:sz w:val="21"/>
                <w:szCs w:val="21"/>
                <w:lang w:val="en-US" w:eastAsia="zh-CN"/>
                <w14:textFill>
                  <w14:solidFill>
                    <w14:schemeClr w14:val="tx1"/>
                  </w14:solidFill>
                </w14:textFill>
              </w:rPr>
              <w:t>3</w:t>
            </w:r>
            <w:r>
              <w:rPr>
                <w:rFonts w:hint="default" w:ascii="Times New Roman" w:hAnsi="Times New Roman" w:cs="Times New Roman"/>
                <w:b/>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14:textFill>
                  <w14:solidFill>
                    <w14:schemeClr w14:val="tx1"/>
                  </w14:solidFill>
                </w14:textFill>
              </w:rPr>
              <w:t>电磁环境监测结果</w:t>
            </w:r>
          </w:p>
          <w:tbl>
            <w:tblPr>
              <w:tblStyle w:val="22"/>
              <w:tblW w:w="4998"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1295"/>
              <w:gridCol w:w="2565"/>
              <w:gridCol w:w="2421"/>
              <w:gridCol w:w="1748"/>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69" w:hRule="atLeast"/>
              </w:trPr>
              <w:tc>
                <w:tcPr>
                  <w:tcW w:w="806" w:type="pct"/>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1"/>
                      <w14:textFill>
                        <w14:solidFill>
                          <w14:schemeClr w14:val="tx1"/>
                        </w14:solidFill>
                      </w14:textFill>
                    </w:rPr>
                    <w:t>监测日期</w:t>
                  </w:r>
                </w:p>
              </w:tc>
              <w:tc>
                <w:tcPr>
                  <w:tcW w:w="1597" w:type="pct"/>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1"/>
                      <w14:textFill>
                        <w14:solidFill>
                          <w14:schemeClr w14:val="tx1"/>
                        </w14:solidFill>
                      </w14:textFill>
                    </w:rPr>
                    <w:t>监测点位</w:t>
                  </w:r>
                </w:p>
              </w:tc>
              <w:tc>
                <w:tcPr>
                  <w:tcW w:w="1507" w:type="pct"/>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1"/>
                      <w14:textFill>
                        <w14:solidFill>
                          <w14:schemeClr w14:val="tx1"/>
                        </w14:solidFill>
                      </w14:textFill>
                    </w:rPr>
                    <w:t>检测因子</w:t>
                  </w:r>
                </w:p>
              </w:tc>
              <w:tc>
                <w:tcPr>
                  <w:tcW w:w="1088" w:type="pct"/>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1"/>
                      <w14:textFill>
                        <w14:solidFill>
                          <w14:schemeClr w14:val="tx1"/>
                        </w14:solidFill>
                      </w14:textFill>
                    </w:rPr>
                    <w:t>监测结果</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806" w:type="pct"/>
                  <w:vMerge w:val="restart"/>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Times New Roman" w:cs="Times New Roman"/>
                      <w:color w:val="000000" w:themeColor="text1"/>
                      <w:sz w:val="21"/>
                      <w14:textFill>
                        <w14:solidFill>
                          <w14:schemeClr w14:val="tx1"/>
                        </w14:solidFill>
                      </w14:textFill>
                    </w:rPr>
                    <w:t>202</w:t>
                  </w:r>
                  <w:r>
                    <w:rPr>
                      <w:rFonts w:hint="default" w:ascii="Times New Roman" w:hAnsi="Times New Roman" w:eastAsia="宋体" w:cs="Times New Roman"/>
                      <w:color w:val="000000" w:themeColor="text1"/>
                      <w:sz w:val="21"/>
                      <w:lang w:val="en-US" w:eastAsia="zh-CN"/>
                      <w14:textFill>
                        <w14:solidFill>
                          <w14:schemeClr w14:val="tx1"/>
                        </w14:solidFill>
                      </w14:textFill>
                    </w:rPr>
                    <w:t>3.2.10</w:t>
                  </w:r>
                </w:p>
              </w:tc>
              <w:tc>
                <w:tcPr>
                  <w:tcW w:w="1597" w:type="pct"/>
                  <w:vMerge w:val="restart"/>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1"/>
                      <w14:textFill>
                        <w14:solidFill>
                          <w14:schemeClr w14:val="tx1"/>
                        </w14:solidFill>
                      </w14:textFill>
                    </w:rPr>
                    <w:t>1#</w:t>
                  </w:r>
                  <w:r>
                    <w:rPr>
                      <w:rFonts w:hint="default" w:ascii="Times New Roman" w:hAnsi="Times New Roman" w:eastAsia="宋体" w:cs="Times New Roman"/>
                      <w:color w:val="000000" w:themeColor="text1"/>
                      <w:sz w:val="21"/>
                      <w14:textFill>
                        <w14:solidFill>
                          <w14:schemeClr w14:val="tx1"/>
                        </w14:solidFill>
                      </w14:textFill>
                    </w:rPr>
                    <w:t>升压站</w:t>
                  </w:r>
                  <w:r>
                    <w:rPr>
                      <w:rFonts w:hint="default" w:ascii="Times New Roman" w:hAnsi="Times New Roman" w:cs="Times New Roman"/>
                      <w:color w:val="000000" w:themeColor="text1"/>
                      <w:sz w:val="21"/>
                      <w:lang w:val="en-US" w:eastAsia="zh-CN"/>
                      <w14:textFill>
                        <w14:solidFill>
                          <w14:schemeClr w14:val="tx1"/>
                        </w14:solidFill>
                      </w14:textFill>
                    </w:rPr>
                    <w:t>站址</w:t>
                  </w:r>
                  <w:r>
                    <w:rPr>
                      <w:rFonts w:hint="default" w:ascii="Times New Roman" w:hAnsi="Times New Roman" w:eastAsia="宋体" w:cs="Times New Roman"/>
                      <w:color w:val="000000" w:themeColor="text1"/>
                      <w:sz w:val="21"/>
                      <w14:textFill>
                        <w14:solidFill>
                          <w14:schemeClr w14:val="tx1"/>
                        </w14:solidFill>
                      </w14:textFill>
                    </w:rPr>
                    <w:t>位置中心</w:t>
                  </w:r>
                </w:p>
              </w:tc>
              <w:tc>
                <w:tcPr>
                  <w:tcW w:w="1507" w:type="pct"/>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工频电场（</w:t>
                  </w:r>
                  <w:r>
                    <w:rPr>
                      <w:rFonts w:hint="default" w:ascii="Times New Roman" w:hAnsi="Times New Roman" w:eastAsia="Times New Roman" w:cs="Times New Roman"/>
                      <w:color w:val="000000" w:themeColor="text1"/>
                      <w:sz w:val="21"/>
                      <w14:textFill>
                        <w14:solidFill>
                          <w14:schemeClr w14:val="tx1"/>
                        </w14:solidFill>
                      </w14:textFill>
                    </w:rPr>
                    <w:t>V/m</w:t>
                  </w:r>
                  <w:r>
                    <w:rPr>
                      <w:rFonts w:hint="default" w:ascii="Times New Roman" w:hAnsi="Times New Roman" w:eastAsia="宋体" w:cs="Times New Roman"/>
                      <w:color w:val="000000" w:themeColor="text1"/>
                      <w:sz w:val="21"/>
                      <w14:textFill>
                        <w14:solidFill>
                          <w14:schemeClr w14:val="tx1"/>
                        </w14:solidFill>
                      </w14:textFill>
                    </w:rPr>
                    <w:t>）</w:t>
                  </w:r>
                </w:p>
              </w:tc>
              <w:tc>
                <w:tcPr>
                  <w:tcW w:w="1088" w:type="pct"/>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0.342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69" w:hRule="atLeast"/>
              </w:trPr>
              <w:tc>
                <w:tcPr>
                  <w:tcW w:w="806"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97"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07" w:type="pct"/>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工频磁场（</w:t>
                  </w:r>
                  <w:r>
                    <w:rPr>
                      <w:rFonts w:hint="default" w:ascii="Times New Roman" w:hAnsi="Times New Roman" w:eastAsia="Times New Roman" w:cs="Times New Roman"/>
                      <w:color w:val="000000" w:themeColor="text1"/>
                      <w:sz w:val="21"/>
                      <w14:textFill>
                        <w14:solidFill>
                          <w14:schemeClr w14:val="tx1"/>
                        </w14:solidFill>
                      </w14:textFill>
                    </w:rPr>
                    <w:t>μT</w:t>
                  </w:r>
                  <w:r>
                    <w:rPr>
                      <w:rFonts w:hint="default" w:ascii="Times New Roman" w:hAnsi="Times New Roman" w:eastAsia="宋体" w:cs="Times New Roman"/>
                      <w:color w:val="000000" w:themeColor="text1"/>
                      <w:sz w:val="21"/>
                      <w14:textFill>
                        <w14:solidFill>
                          <w14:schemeClr w14:val="tx1"/>
                        </w14:solidFill>
                      </w14:textFill>
                    </w:rPr>
                    <w:t>）</w:t>
                  </w:r>
                </w:p>
              </w:tc>
              <w:tc>
                <w:tcPr>
                  <w:tcW w:w="1088" w:type="pct"/>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0.007</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806"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p>
              </w:tc>
              <w:tc>
                <w:tcPr>
                  <w:tcW w:w="1597" w:type="pct"/>
                  <w:vMerge w:val="restar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z w:val="21"/>
                      <w:szCs w:val="24"/>
                      <w14:textFill>
                        <w14:solidFill>
                          <w14:schemeClr w14:val="tx1"/>
                        </w14:solidFill>
                      </w14:textFill>
                    </w:rPr>
                    <w:t>升压站场界外东侧</w:t>
                  </w:r>
                  <w:r>
                    <w:rPr>
                      <w:rFonts w:hint="default" w:ascii="Times New Roman" w:hAnsi="Times New Roman" w:eastAsia="TimesNewRomanPSMT" w:cs="Times New Roman"/>
                      <w:color w:val="000000" w:themeColor="text1"/>
                      <w:sz w:val="21"/>
                      <w:szCs w:val="24"/>
                      <w14:textFill>
                        <w14:solidFill>
                          <w14:schemeClr w14:val="tx1"/>
                        </w14:solidFill>
                      </w14:textFill>
                    </w:rPr>
                    <w:t>5m</w:t>
                  </w:r>
                </w:p>
              </w:tc>
              <w:tc>
                <w:tcPr>
                  <w:tcW w:w="1507"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工频电场（</w:t>
                  </w:r>
                  <w:r>
                    <w:rPr>
                      <w:rFonts w:hint="default" w:ascii="Times New Roman" w:hAnsi="Times New Roman" w:eastAsia="Times New Roman" w:cs="Times New Roman"/>
                      <w:color w:val="000000" w:themeColor="text1"/>
                      <w:sz w:val="21"/>
                      <w:szCs w:val="21"/>
                      <w14:textFill>
                        <w14:solidFill>
                          <w14:schemeClr w14:val="tx1"/>
                        </w14:solidFill>
                      </w14:textFill>
                    </w:rPr>
                    <w:t>V/m</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88"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0.260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806"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97"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07"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工频磁场（</w:t>
                  </w:r>
                  <w:r>
                    <w:rPr>
                      <w:rFonts w:hint="default" w:ascii="Times New Roman" w:hAnsi="Times New Roman" w:eastAsia="Times New Roman" w:cs="Times New Roman"/>
                      <w:color w:val="000000" w:themeColor="text1"/>
                      <w:sz w:val="21"/>
                      <w:szCs w:val="21"/>
                      <w14:textFill>
                        <w14:solidFill>
                          <w14:schemeClr w14:val="tx1"/>
                        </w14:solidFill>
                      </w14:textFill>
                    </w:rPr>
                    <w:t>μT</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88"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806"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97" w:type="pct"/>
                  <w:vMerge w:val="restar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3#</w:t>
                  </w:r>
                  <w:r>
                    <w:rPr>
                      <w:rFonts w:hint="default" w:ascii="Times New Roman" w:hAnsi="Times New Roman" w:eastAsia="宋体" w:cs="Times New Roman"/>
                      <w:color w:val="000000" w:themeColor="text1"/>
                      <w:sz w:val="21"/>
                      <w:szCs w:val="24"/>
                      <w14:textFill>
                        <w14:solidFill>
                          <w14:schemeClr w14:val="tx1"/>
                        </w14:solidFill>
                      </w14:textFill>
                    </w:rPr>
                    <w:t>升压站场界外</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南</w:t>
                  </w:r>
                  <w:r>
                    <w:rPr>
                      <w:rFonts w:hint="default" w:ascii="Times New Roman" w:hAnsi="Times New Roman" w:eastAsia="宋体" w:cs="Times New Roman"/>
                      <w:color w:val="000000" w:themeColor="text1"/>
                      <w:sz w:val="21"/>
                      <w:szCs w:val="24"/>
                      <w14:textFill>
                        <w14:solidFill>
                          <w14:schemeClr w14:val="tx1"/>
                        </w14:solidFill>
                      </w14:textFill>
                    </w:rPr>
                    <w:t>侧</w:t>
                  </w:r>
                  <w:r>
                    <w:rPr>
                      <w:rFonts w:hint="default" w:ascii="Times New Roman" w:hAnsi="Times New Roman" w:eastAsia="TimesNewRomanPSMT" w:cs="Times New Roman"/>
                      <w:color w:val="000000" w:themeColor="text1"/>
                      <w:sz w:val="21"/>
                      <w:szCs w:val="24"/>
                      <w14:textFill>
                        <w14:solidFill>
                          <w14:schemeClr w14:val="tx1"/>
                        </w14:solidFill>
                      </w14:textFill>
                    </w:rPr>
                    <w:t>5m</w:t>
                  </w:r>
                </w:p>
              </w:tc>
              <w:tc>
                <w:tcPr>
                  <w:tcW w:w="1507"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工频电场（</w:t>
                  </w:r>
                  <w:r>
                    <w:rPr>
                      <w:rFonts w:hint="default" w:ascii="Times New Roman" w:hAnsi="Times New Roman" w:eastAsia="Times New Roman" w:cs="Times New Roman"/>
                      <w:color w:val="000000" w:themeColor="text1"/>
                      <w:sz w:val="21"/>
                      <w:szCs w:val="21"/>
                      <w14:textFill>
                        <w14:solidFill>
                          <w14:schemeClr w14:val="tx1"/>
                        </w14:solidFill>
                      </w14:textFill>
                    </w:rPr>
                    <w:t>V/m</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88"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0.330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806"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97"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07"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工频磁场（</w:t>
                  </w:r>
                  <w:r>
                    <w:rPr>
                      <w:rFonts w:hint="default" w:ascii="Times New Roman" w:hAnsi="Times New Roman" w:eastAsia="Times New Roman" w:cs="Times New Roman"/>
                      <w:color w:val="000000" w:themeColor="text1"/>
                      <w:sz w:val="21"/>
                      <w:szCs w:val="21"/>
                      <w14:textFill>
                        <w14:solidFill>
                          <w14:schemeClr w14:val="tx1"/>
                        </w14:solidFill>
                      </w14:textFill>
                    </w:rPr>
                    <w:t>μT</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88"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0.006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806"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97" w:type="pct"/>
                  <w:vMerge w:val="restar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4#</w:t>
                  </w:r>
                  <w:r>
                    <w:rPr>
                      <w:rFonts w:hint="default" w:ascii="Times New Roman" w:hAnsi="Times New Roman" w:eastAsia="宋体" w:cs="Times New Roman"/>
                      <w:color w:val="000000" w:themeColor="text1"/>
                      <w:sz w:val="21"/>
                      <w:szCs w:val="24"/>
                      <w14:textFill>
                        <w14:solidFill>
                          <w14:schemeClr w14:val="tx1"/>
                        </w14:solidFill>
                      </w14:textFill>
                    </w:rPr>
                    <w:t>升压站场界外</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西</w:t>
                  </w:r>
                  <w:r>
                    <w:rPr>
                      <w:rFonts w:hint="default" w:ascii="Times New Roman" w:hAnsi="Times New Roman" w:eastAsia="宋体" w:cs="Times New Roman"/>
                      <w:color w:val="000000" w:themeColor="text1"/>
                      <w:sz w:val="21"/>
                      <w:szCs w:val="24"/>
                      <w14:textFill>
                        <w14:solidFill>
                          <w14:schemeClr w14:val="tx1"/>
                        </w14:solidFill>
                      </w14:textFill>
                    </w:rPr>
                    <w:t>侧</w:t>
                  </w:r>
                  <w:r>
                    <w:rPr>
                      <w:rFonts w:hint="default" w:ascii="Times New Roman" w:hAnsi="Times New Roman" w:eastAsia="TimesNewRomanPSMT" w:cs="Times New Roman"/>
                      <w:color w:val="000000" w:themeColor="text1"/>
                      <w:sz w:val="21"/>
                      <w:szCs w:val="24"/>
                      <w14:textFill>
                        <w14:solidFill>
                          <w14:schemeClr w14:val="tx1"/>
                        </w14:solidFill>
                      </w14:textFill>
                    </w:rPr>
                    <w:t>5m</w:t>
                  </w:r>
                </w:p>
              </w:tc>
              <w:tc>
                <w:tcPr>
                  <w:tcW w:w="1507"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工频电场（</w:t>
                  </w:r>
                  <w:r>
                    <w:rPr>
                      <w:rFonts w:hint="default" w:ascii="Times New Roman" w:hAnsi="Times New Roman" w:eastAsia="Times New Roman" w:cs="Times New Roman"/>
                      <w:color w:val="000000" w:themeColor="text1"/>
                      <w:sz w:val="21"/>
                      <w:szCs w:val="21"/>
                      <w14:textFill>
                        <w14:solidFill>
                          <w14:schemeClr w14:val="tx1"/>
                        </w14:solidFill>
                      </w14:textFill>
                    </w:rPr>
                    <w:t>V/m</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88"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0.372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806"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97"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07"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工频磁场（</w:t>
                  </w:r>
                  <w:r>
                    <w:rPr>
                      <w:rFonts w:hint="default" w:ascii="Times New Roman" w:hAnsi="Times New Roman" w:eastAsia="Times New Roman" w:cs="Times New Roman"/>
                      <w:color w:val="000000" w:themeColor="text1"/>
                      <w:sz w:val="21"/>
                      <w:szCs w:val="21"/>
                      <w14:textFill>
                        <w14:solidFill>
                          <w14:schemeClr w14:val="tx1"/>
                        </w14:solidFill>
                      </w14:textFill>
                    </w:rPr>
                    <w:t>μT</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88"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0.006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806"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97" w:type="pct"/>
                  <w:vMerge w:val="restar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5#</w:t>
                  </w:r>
                  <w:r>
                    <w:rPr>
                      <w:rFonts w:hint="default" w:ascii="Times New Roman" w:hAnsi="Times New Roman" w:eastAsia="宋体" w:cs="Times New Roman"/>
                      <w:color w:val="000000" w:themeColor="text1"/>
                      <w:sz w:val="21"/>
                      <w:szCs w:val="24"/>
                      <w14:textFill>
                        <w14:solidFill>
                          <w14:schemeClr w14:val="tx1"/>
                        </w14:solidFill>
                      </w14:textFill>
                    </w:rPr>
                    <w:t>升压站场界外</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北</w:t>
                  </w:r>
                  <w:r>
                    <w:rPr>
                      <w:rFonts w:hint="default" w:ascii="Times New Roman" w:hAnsi="Times New Roman" w:eastAsia="宋体" w:cs="Times New Roman"/>
                      <w:color w:val="000000" w:themeColor="text1"/>
                      <w:sz w:val="21"/>
                      <w:szCs w:val="24"/>
                      <w14:textFill>
                        <w14:solidFill>
                          <w14:schemeClr w14:val="tx1"/>
                        </w14:solidFill>
                      </w14:textFill>
                    </w:rPr>
                    <w:t>侧</w:t>
                  </w:r>
                  <w:r>
                    <w:rPr>
                      <w:rFonts w:hint="default" w:ascii="Times New Roman" w:hAnsi="Times New Roman" w:eastAsia="TimesNewRomanPSMT" w:cs="Times New Roman"/>
                      <w:color w:val="000000" w:themeColor="text1"/>
                      <w:sz w:val="21"/>
                      <w:szCs w:val="24"/>
                      <w14:textFill>
                        <w14:solidFill>
                          <w14:schemeClr w14:val="tx1"/>
                        </w14:solidFill>
                      </w14:textFill>
                    </w:rPr>
                    <w:t>5m</w:t>
                  </w:r>
                </w:p>
              </w:tc>
              <w:tc>
                <w:tcPr>
                  <w:tcW w:w="1507"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工频电场（</w:t>
                  </w:r>
                  <w:r>
                    <w:rPr>
                      <w:rFonts w:hint="default" w:ascii="Times New Roman" w:hAnsi="Times New Roman" w:eastAsia="Times New Roman" w:cs="Times New Roman"/>
                      <w:color w:val="000000" w:themeColor="text1"/>
                      <w:sz w:val="21"/>
                      <w:szCs w:val="21"/>
                      <w14:textFill>
                        <w14:solidFill>
                          <w14:schemeClr w14:val="tx1"/>
                        </w14:solidFill>
                      </w14:textFill>
                    </w:rPr>
                    <w:t>V/m</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88"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0.231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806" w:type="pct"/>
                  <w:vMerge w:val="continue"/>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97" w:type="pct"/>
                  <w:vMerge w:val="continue"/>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07" w:type="pct"/>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工频磁场（</w:t>
                  </w:r>
                  <w:r>
                    <w:rPr>
                      <w:rFonts w:hint="default" w:ascii="Times New Roman" w:hAnsi="Times New Roman" w:eastAsia="Times New Roman" w:cs="Times New Roman"/>
                      <w:color w:val="000000" w:themeColor="text1"/>
                      <w:sz w:val="21"/>
                      <w:szCs w:val="21"/>
                      <w14:textFill>
                        <w14:solidFill>
                          <w14:schemeClr w14:val="tx1"/>
                        </w14:solidFill>
                      </w14:textFill>
                    </w:rPr>
                    <w:t>μT</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88" w:type="pct"/>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0.0</w:t>
                  </w:r>
                  <w:r>
                    <w:rPr>
                      <w:rFonts w:hint="default" w:ascii="Times New Roman" w:hAnsi="Times New Roman" w:cs="Times New Roman"/>
                      <w:color w:val="000000" w:themeColor="text1"/>
                      <w:sz w:val="21"/>
                      <w:lang w:val="en-US" w:eastAsia="zh-CN"/>
                      <w14:textFill>
                        <w14:solidFill>
                          <w14:schemeClr w14:val="tx1"/>
                        </w14:solidFill>
                      </w14:textFill>
                    </w:rPr>
                    <w:t>07</w:t>
                  </w:r>
                </w:p>
              </w:tc>
            </w:tr>
          </w:tbl>
          <w:p>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0"/>
                <w:sz w:val="24"/>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根据表3-</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 xml:space="preserve"> 监测结果可知，本项目</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升压站场址中心及四周</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工频电场强度在0.</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231</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V/m~0.</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372</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V/m 之间，工频磁场强度在</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0.005</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μT~0.0</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07</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μT之间，项目所在区域环境现状满足《电磁环境控制限值》（GB 8702-2014）表1 中公众曝露限值，即频率为50Hz 时，工频电场强度≤4000V/m、工频磁感应强度≤100μT。项目区域电磁环境质量现状良好。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48" w:hRule="atLeast"/>
          <w:jc w:val="center"/>
        </w:trPr>
        <w:tc>
          <w:tcPr>
            <w:tcW w:w="4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与项目有关的原有环境污染和生态破坏问题</w:t>
            </w:r>
          </w:p>
        </w:tc>
        <w:tc>
          <w:tcPr>
            <w:tcW w:w="82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本项目为新建项目，不存在</w:t>
            </w:r>
            <w:r>
              <w:rPr>
                <w:rFonts w:hint="default" w:ascii="Times New Roman" w:hAnsi="Times New Roman" w:eastAsia="宋体" w:cs="Times New Roman"/>
                <w:color w:val="000000" w:themeColor="text1"/>
                <w:sz w:val="24"/>
                <w:szCs w:val="24"/>
                <w14:textFill>
                  <w14:solidFill>
                    <w14:schemeClr w14:val="tx1"/>
                  </w14:solidFill>
                </w14:textFill>
              </w:rPr>
              <w:t>与项目有关的原有环境污染和生态破坏问题。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4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生态环境保护目标</w:t>
            </w:r>
          </w:p>
        </w:tc>
        <w:tc>
          <w:tcPr>
            <w:tcW w:w="8277"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cs="Times New Roman"/>
                <w:b/>
                <w:bCs/>
                <w:color w:val="000000" w:themeColor="text1"/>
                <w:kern w:val="0"/>
                <w:sz w:val="24"/>
                <w:u w:val="single"/>
                <w:lang w:eastAsia="zh-CN"/>
                <w14:textFill>
                  <w14:solidFill>
                    <w14:schemeClr w14:val="tx1"/>
                  </w14:solidFill>
                </w14:textFill>
              </w:rPr>
            </w:pPr>
            <w:r>
              <w:rPr>
                <w:rFonts w:hint="eastAsia" w:cs="Times New Roman"/>
                <w:b/>
                <w:bCs/>
                <w:color w:val="000000" w:themeColor="text1"/>
                <w:kern w:val="0"/>
                <w:sz w:val="24"/>
                <w:u w:val="single"/>
                <w:lang w:val="en-US" w:eastAsia="zh-CN"/>
                <w14:textFill>
                  <w14:solidFill>
                    <w14:schemeClr w14:val="tx1"/>
                  </w14:solidFill>
                </w14:textFill>
              </w:rPr>
              <w:t>1</w:t>
            </w:r>
            <w:r>
              <w:rPr>
                <w:rFonts w:hint="default" w:ascii="Times New Roman" w:hAnsi="Times New Roman" w:cs="Times New Roman"/>
                <w:b/>
                <w:bCs/>
                <w:color w:val="000000" w:themeColor="text1"/>
                <w:kern w:val="0"/>
                <w:sz w:val="24"/>
                <w:u w:val="single"/>
                <w:lang w:eastAsia="zh-CN"/>
                <w14:textFill>
                  <w14:solidFill>
                    <w14:schemeClr w14:val="tx1"/>
                  </w14:solidFill>
                </w14:textFill>
              </w:rPr>
              <w:t>、水环境保护目标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kern w:val="0"/>
                <w:sz w:val="24"/>
                <w:u w:val="single"/>
                <w:lang w:eastAsia="zh-CN"/>
                <w14:textFill>
                  <w14:solidFill>
                    <w14:schemeClr w14:val="tx1"/>
                  </w14:solidFill>
                </w14:textFill>
              </w:rPr>
            </w:pPr>
            <w:r>
              <w:rPr>
                <w:rFonts w:hint="default" w:ascii="Times New Roman" w:hAnsi="Times New Roman" w:cs="Times New Roman"/>
                <w:color w:val="000000" w:themeColor="text1"/>
                <w:kern w:val="0"/>
                <w:sz w:val="24"/>
                <w:u w:val="single"/>
                <w:lang w:eastAsia="zh-CN"/>
                <w14:textFill>
                  <w14:solidFill>
                    <w14:schemeClr w14:val="tx1"/>
                  </w14:solidFill>
                </w14:textFill>
              </w:rPr>
              <w:t>根据《环境影响评价技术导则地表水环境》（HJ 2.3-2018），水环境保护目标指饮用水水源保护区、饮用水取水口，涉水的自然保护区、风景名胜区，重要湿地、重点保护与珍稀水生生物的栖息地、重要水生生物的自然产卵场及索饵场、越冬场和洄游通道，天然渔场等渔业水体，以及水产种质资源保护区等。</w:t>
            </w:r>
            <w:r>
              <w:rPr>
                <w:rFonts w:hint="default" w:ascii="Times New Roman" w:hAnsi="Times New Roman" w:eastAsia="宋体" w:cs="Times New Roman"/>
                <w:color w:val="000000" w:themeColor="text1"/>
                <w:kern w:val="0"/>
                <w:sz w:val="24"/>
                <w:u w:val="single"/>
                <w:lang w:eastAsia="zh-CN"/>
                <w14:textFill>
                  <w14:solidFill>
                    <w14:schemeClr w14:val="tx1"/>
                  </w14:solidFill>
                </w14:textFill>
              </w:rPr>
              <w:t>本项目周边不涉及上述水环境保护目标。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color w:val="000000" w:themeColor="text1"/>
                <w:kern w:val="0"/>
                <w:sz w:val="24"/>
                <w:u w:val="single"/>
                <w:lang w:val="en-US" w:eastAsia="zh-CN"/>
                <w14:textFill>
                  <w14:solidFill>
                    <w14:schemeClr w14:val="tx1"/>
                  </w14:solidFill>
                </w14:textFill>
              </w:rPr>
            </w:pPr>
            <w:r>
              <w:rPr>
                <w:rFonts w:hint="eastAsia" w:cs="Times New Roman"/>
                <w:color w:val="000000" w:themeColor="text1"/>
                <w:kern w:val="0"/>
                <w:sz w:val="24"/>
                <w:u w:val="single"/>
                <w:lang w:eastAsia="zh-CN"/>
                <w14:textFill>
                  <w14:solidFill>
                    <w14:schemeClr w14:val="tx1"/>
                  </w14:solidFill>
                </w14:textFill>
              </w:rPr>
              <w:t>根据《</w:t>
            </w:r>
            <w:r>
              <w:rPr>
                <w:rFonts w:hint="default" w:ascii="Times New Roman" w:hAnsi="Times New Roman" w:cs="Times New Roman"/>
                <w:color w:val="000000" w:themeColor="text1"/>
                <w:kern w:val="0"/>
                <w:sz w:val="24"/>
                <w:u w:val="single"/>
                <w:lang w:eastAsia="zh-CN"/>
                <w14:textFill>
                  <w14:solidFill>
                    <w14:schemeClr w14:val="tx1"/>
                  </w14:solidFill>
                </w14:textFill>
              </w:rPr>
              <w:t>邵阳市人民政府关</w:t>
            </w:r>
            <w:r>
              <w:rPr>
                <w:rFonts w:hint="eastAsia" w:cs="Times New Roman"/>
                <w:color w:val="000000" w:themeColor="text1"/>
                <w:kern w:val="0"/>
                <w:sz w:val="24"/>
                <w:u w:val="single"/>
                <w:lang w:eastAsia="zh-CN"/>
                <w14:textFill>
                  <w14:solidFill>
                    <w14:schemeClr w14:val="tx1"/>
                  </w14:solidFill>
                </w14:textFill>
              </w:rPr>
              <w:t>于</w:t>
            </w:r>
            <w:r>
              <w:rPr>
                <w:rFonts w:hint="default" w:ascii="Times New Roman" w:hAnsi="Times New Roman" w:cs="Times New Roman"/>
                <w:color w:val="000000" w:themeColor="text1"/>
                <w:kern w:val="0"/>
                <w:sz w:val="24"/>
                <w:u w:val="single"/>
                <w:lang w:eastAsia="zh-CN"/>
                <w14:textFill>
                  <w14:solidFill>
                    <w14:schemeClr w14:val="tx1"/>
                  </w14:solidFill>
                </w14:textFill>
              </w:rPr>
              <w:t>公布新邵县巨口铺镇白羊塘村小乐冲水库等第二批 176 个农村千人以上集中式饮用水水源保护区划定方案的通知</w:t>
            </w:r>
            <w:r>
              <w:rPr>
                <w:rFonts w:hint="eastAsia" w:cs="Times New Roman"/>
                <w:color w:val="000000" w:themeColor="text1"/>
                <w:kern w:val="0"/>
                <w:sz w:val="24"/>
                <w:u w:val="single"/>
                <w:lang w:eastAsia="zh-CN"/>
                <w14:textFill>
                  <w14:solidFill>
                    <w14:schemeClr w14:val="tx1"/>
                  </w14:solidFill>
                </w14:textFill>
              </w:rPr>
              <w:t>》（邵市政函</w:t>
            </w:r>
            <w:r>
              <w:rPr>
                <w:rFonts w:hint="eastAsia" w:cs="Times New Roman"/>
                <w:color w:val="000000" w:themeColor="text1"/>
                <w:kern w:val="0"/>
                <w:sz w:val="24"/>
                <w:u w:val="single"/>
                <w:lang w:val="en-US" w:eastAsia="zh-CN"/>
                <w14:textFill>
                  <w14:solidFill>
                    <w14:schemeClr w14:val="tx1"/>
                  </w14:solidFill>
                </w14:textFill>
              </w:rPr>
              <w:t>[</w:t>
            </w:r>
            <w:r>
              <w:rPr>
                <w:rFonts w:hint="eastAsia" w:cs="Times New Roman"/>
                <w:color w:val="000000" w:themeColor="text1"/>
                <w:kern w:val="0"/>
                <w:sz w:val="24"/>
                <w:u w:val="single"/>
                <w:lang w:eastAsia="zh-CN"/>
                <w14:textFill>
                  <w14:solidFill>
                    <w14:schemeClr w14:val="tx1"/>
                  </w14:solidFill>
                </w14:textFill>
              </w:rPr>
              <w:t>2020</w:t>
            </w:r>
            <w:r>
              <w:rPr>
                <w:rFonts w:hint="eastAsia" w:cs="Times New Roman"/>
                <w:color w:val="000000" w:themeColor="text1"/>
                <w:kern w:val="0"/>
                <w:sz w:val="24"/>
                <w:u w:val="single"/>
                <w:lang w:val="en-US" w:eastAsia="zh-CN"/>
                <w14:textFill>
                  <w14:solidFill>
                    <w14:schemeClr w14:val="tx1"/>
                  </w14:solidFill>
                </w14:textFill>
              </w:rPr>
              <w:t>]</w:t>
            </w:r>
            <w:r>
              <w:rPr>
                <w:rFonts w:hint="eastAsia" w:cs="Times New Roman"/>
                <w:color w:val="000000" w:themeColor="text1"/>
                <w:kern w:val="0"/>
                <w:sz w:val="24"/>
                <w:u w:val="single"/>
                <w:lang w:eastAsia="zh-CN"/>
                <w14:textFill>
                  <w14:solidFill>
                    <w14:schemeClr w14:val="tx1"/>
                  </w14:solidFill>
                </w14:textFill>
              </w:rPr>
              <w:t>92号）及邵阳市第二批乡镇21个“千吨万人”饮用水水源保护区划分方案，本项目区域涉及的饮用水源为邵阳县郦家坪镇郦家坪集镇水厂地下水饮用水水源保护区，位于项目西面</w:t>
            </w:r>
            <w:r>
              <w:rPr>
                <w:rFonts w:hint="eastAsia" w:cs="Times New Roman"/>
                <w:color w:val="000000" w:themeColor="text1"/>
                <w:kern w:val="0"/>
                <w:sz w:val="24"/>
                <w:u w:val="single"/>
                <w:lang w:val="en-US" w:eastAsia="zh-CN"/>
                <w14:textFill>
                  <w14:solidFill>
                    <w14:schemeClr w14:val="tx1"/>
                  </w14:solidFill>
                </w14:textFill>
              </w:rPr>
              <w:t>1600m处。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0"/>
                <w:sz w:val="21"/>
                <w:szCs w:val="21"/>
                <w:u w:val="singl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u w:val="single"/>
                <w:lang w:val="en-US" w:eastAsia="zh-CN" w:bidi="ar-SA"/>
                <w14:textFill>
                  <w14:solidFill>
                    <w14:schemeClr w14:val="tx1"/>
                  </w14:solidFill>
                </w14:textFill>
              </w:rPr>
              <w:t>表3-</w:t>
            </w:r>
            <w:r>
              <w:rPr>
                <w:rFonts w:hint="eastAsia" w:cs="Times New Roman"/>
                <w:b/>
                <w:bCs/>
                <w:color w:val="000000" w:themeColor="text1"/>
                <w:kern w:val="0"/>
                <w:sz w:val="21"/>
                <w:szCs w:val="21"/>
                <w:u w:val="single"/>
                <w:lang w:val="en-US" w:eastAsia="zh-CN" w:bidi="ar-SA"/>
                <w14:textFill>
                  <w14:solidFill>
                    <w14:schemeClr w14:val="tx1"/>
                  </w14:solidFill>
                </w14:textFill>
              </w:rPr>
              <w:t>4</w:t>
            </w:r>
            <w:r>
              <w:rPr>
                <w:rFonts w:hint="default" w:ascii="Times New Roman" w:hAnsi="Times New Roman" w:eastAsia="宋体" w:cs="Times New Roman"/>
                <w:b/>
                <w:bCs/>
                <w:color w:val="000000" w:themeColor="text1"/>
                <w:kern w:val="0"/>
                <w:sz w:val="21"/>
                <w:szCs w:val="21"/>
                <w:u w:val="single"/>
                <w:lang w:val="en-US" w:eastAsia="zh-CN" w:bidi="ar-SA"/>
                <w14:textFill>
                  <w14:solidFill>
                    <w14:schemeClr w14:val="tx1"/>
                  </w14:solidFill>
                </w14:textFill>
              </w:rPr>
              <w:t xml:space="preserve"> 项目周边饮用水源保护区情况一览表</w:t>
            </w:r>
          </w:p>
          <w:tbl>
            <w:tblPr>
              <w:tblStyle w:val="22"/>
              <w:tblW w:w="4998"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607"/>
              <w:gridCol w:w="599"/>
              <w:gridCol w:w="1208"/>
              <w:gridCol w:w="3623"/>
              <w:gridCol w:w="9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8" w:hRule="atLeast"/>
              </w:trPr>
              <w:tc>
                <w:tcPr>
                  <w:tcW w:w="1000" w:type="pct"/>
                  <w:vMerge w:val="restart"/>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Lines="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lang w:eastAsia="zh-CN"/>
                      <w14:textFill>
                        <w14:solidFill>
                          <w14:schemeClr w14:val="tx1"/>
                        </w14:solidFill>
                      </w14:textFill>
                    </w:rPr>
                    <w:t>保护区</w:t>
                  </w:r>
                  <w:r>
                    <w:rPr>
                      <w:rFonts w:hint="default" w:ascii="Times New Roman" w:hAnsi="Times New Roman" w:eastAsia="宋体" w:cs="Times New Roman"/>
                      <w:b/>
                      <w:bCs/>
                      <w:color w:val="000000" w:themeColor="text1"/>
                      <w:sz w:val="21"/>
                      <w:szCs w:val="21"/>
                      <w:u w:val="single"/>
                      <w14:textFill>
                        <w14:solidFill>
                          <w14:schemeClr w14:val="tx1"/>
                        </w14:solidFill>
                      </w14:textFill>
                    </w:rPr>
                    <w:t>名称</w:t>
                  </w:r>
                </w:p>
              </w:tc>
              <w:tc>
                <w:tcPr>
                  <w:tcW w:w="373" w:type="pct"/>
                  <w:vMerge w:val="restart"/>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Lines="0" w:afterAutospacing="0"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single"/>
                      <w:lang w:eastAsia="zh-CN"/>
                      <w14:textFill>
                        <w14:solidFill>
                          <w14:schemeClr w14:val="tx1"/>
                        </w14:solidFill>
                      </w14:textFill>
                    </w:rPr>
                    <w:t>保护级别</w:t>
                  </w:r>
                </w:p>
              </w:tc>
              <w:tc>
                <w:tcPr>
                  <w:tcW w:w="3007" w:type="pct"/>
                  <w:gridSpan w:val="2"/>
                  <w:tcBorders>
                    <w:bottom w:val="single" w:color="auto"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Lines="0" w:afterAutospacing="0"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lang w:eastAsia="zh-CN"/>
                      <w14:textFill>
                        <w14:solidFill>
                          <w14:schemeClr w14:val="tx1"/>
                        </w14:solidFill>
                      </w14:textFill>
                    </w:rPr>
                    <w:t>保护区范围</w:t>
                  </w:r>
                  <w:r>
                    <w:rPr>
                      <w:rFonts w:hint="default" w:ascii="Times New Roman" w:hAnsi="Times New Roman" w:eastAsia="宋体" w:cs="Times New Roman"/>
                      <w:b/>
                      <w:bCs/>
                      <w:color w:val="000000" w:themeColor="text1"/>
                      <w:sz w:val="21"/>
                      <w:szCs w:val="21"/>
                      <w:u w:val="single"/>
                      <w14:textFill>
                        <w14:solidFill>
                          <w14:schemeClr w14:val="tx1"/>
                        </w14:solidFill>
                      </w14:textFill>
                    </w:rPr>
                    <w:t>能</w:t>
                  </w:r>
                </w:p>
              </w:tc>
              <w:tc>
                <w:tcPr>
                  <w:tcW w:w="617" w:type="pct"/>
                  <w:vMerge w:val="restart"/>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Lines="0" w:afterAutospacing="0"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single"/>
                      <w:lang w:eastAsia="zh-CN"/>
                      <w14:textFill>
                        <w14:solidFill>
                          <w14:schemeClr w14:val="tx1"/>
                        </w14:solidFill>
                      </w14:textFill>
                    </w:rPr>
                    <w:t>方位距离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6" w:hRule="atLeast"/>
              </w:trPr>
              <w:tc>
                <w:tcPr>
                  <w:tcW w:w="1000"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Lines="0" w:afterAutospacing="0"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u w:val="single"/>
                      <w14:textFill>
                        <w14:solidFill>
                          <w14:schemeClr w14:val="tx1"/>
                        </w14:solidFill>
                      </w14:textFill>
                    </w:rPr>
                  </w:pPr>
                </w:p>
              </w:tc>
              <w:tc>
                <w:tcPr>
                  <w:tcW w:w="373"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Lines="0" w:afterAutospacing="0"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u w:val="single"/>
                      <w14:textFill>
                        <w14:solidFill>
                          <w14:schemeClr w14:val="tx1"/>
                        </w14:solidFill>
                      </w14:textFill>
                    </w:rPr>
                  </w:pPr>
                </w:p>
              </w:tc>
              <w:tc>
                <w:tcPr>
                  <w:tcW w:w="752" w:type="pct"/>
                  <w:tcBorders>
                    <w:top w:val="single" w:color="auto" w:sz="4" w:space="0"/>
                  </w:tcBorders>
                  <w:noWrap w:val="0"/>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b/>
                      <w:bCs/>
                      <w:color w:val="000000" w:themeColor="text1"/>
                      <w:sz w:val="21"/>
                      <w:szCs w:val="21"/>
                      <w:u w:val="single"/>
                      <w:lang w:eastAsia="zh-CN"/>
                      <w14:textFill>
                        <w14:solidFill>
                          <w14:schemeClr w14:val="tx1"/>
                        </w14:solidFill>
                      </w14:textFill>
                    </w:rPr>
                  </w:pPr>
                  <w:r>
                    <w:rPr>
                      <w:rFonts w:hint="default" w:ascii="Times New Roman" w:hAnsi="Times New Roman" w:cs="Times New Roman"/>
                      <w:b/>
                      <w:bCs/>
                      <w:color w:val="000000" w:themeColor="text1"/>
                      <w:kern w:val="0"/>
                      <w:szCs w:val="21"/>
                      <w:u w:val="single"/>
                      <w14:textFill>
                        <w14:solidFill>
                          <w14:schemeClr w14:val="tx1"/>
                        </w14:solidFill>
                      </w14:textFill>
                    </w:rPr>
                    <w:t>水域</w:t>
                  </w:r>
                </w:p>
              </w:tc>
              <w:tc>
                <w:tcPr>
                  <w:tcW w:w="2254" w:type="pct"/>
                  <w:tcBorders>
                    <w:top w:val="single" w:color="auto" w:sz="4" w:space="0"/>
                  </w:tcBorders>
                  <w:noWrap w:val="0"/>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b/>
                      <w:bCs/>
                      <w:color w:val="000000" w:themeColor="text1"/>
                      <w:sz w:val="21"/>
                      <w:szCs w:val="21"/>
                      <w:u w:val="single"/>
                      <w14:textFill>
                        <w14:solidFill>
                          <w14:schemeClr w14:val="tx1"/>
                        </w14:solidFill>
                      </w14:textFill>
                    </w:rPr>
                  </w:pPr>
                  <w:r>
                    <w:rPr>
                      <w:rFonts w:hint="default" w:ascii="Times New Roman" w:hAnsi="Times New Roman" w:cs="Times New Roman"/>
                      <w:b/>
                      <w:bCs/>
                      <w:color w:val="000000" w:themeColor="text1"/>
                      <w:kern w:val="0"/>
                      <w:szCs w:val="21"/>
                      <w:u w:val="single"/>
                      <w14:textFill>
                        <w14:solidFill>
                          <w14:schemeClr w14:val="tx1"/>
                        </w14:solidFill>
                      </w14:textFill>
                    </w:rPr>
                    <w:t>陆域</w:t>
                  </w:r>
                </w:p>
              </w:tc>
              <w:tc>
                <w:tcPr>
                  <w:tcW w:w="617" w:type="pct"/>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Lines="0" w:afterAutospacing="0"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u w:val="singl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000" w:type="pct"/>
                  <w:vMerge w:val="restart"/>
                  <w:noWrap w:val="0"/>
                  <w:vAlign w:val="center"/>
                </w:tcPr>
                <w:p>
                  <w:pPr>
                    <w:pStyle w:val="74"/>
                    <w:keepNext w:val="0"/>
                    <w:keepLines w:val="0"/>
                    <w:suppressLineNumbers w:val="0"/>
                    <w:overflowPunct/>
                    <w:autoSpaceDE/>
                    <w:autoSpaceDN/>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t>邵阳县郦家坪镇郦家坪集镇水厂地下水饮用水水源保护区</w:t>
                  </w:r>
                </w:p>
              </w:tc>
              <w:tc>
                <w:tcPr>
                  <w:tcW w:w="373" w:type="pct"/>
                  <w:vMerge w:val="restart"/>
                  <w:noWrap w:val="0"/>
                  <w:vAlign w:val="center"/>
                </w:tcPr>
                <w:p>
                  <w:pPr>
                    <w:pStyle w:val="74"/>
                    <w:keepNext w:val="0"/>
                    <w:keepLines w:val="0"/>
                    <w:suppressLineNumbers w:val="0"/>
                    <w:overflowPunct/>
                    <w:autoSpaceDE/>
                    <w:autoSpaceDN/>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t>一级</w:t>
                  </w:r>
                </w:p>
              </w:tc>
              <w:tc>
                <w:tcPr>
                  <w:tcW w:w="752" w:type="pct"/>
                  <w:noWrap w:val="0"/>
                  <w:vAlign w:val="center"/>
                </w:tcPr>
                <w:p>
                  <w:pPr>
                    <w:pStyle w:val="74"/>
                    <w:keepNext w:val="0"/>
                    <w:keepLines w:val="0"/>
                    <w:suppressLineNumbers w:val="0"/>
                    <w:overflowPunct/>
                    <w:autoSpaceDE/>
                    <w:autoSpaceDN/>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t>泡泡冲水库水域</w:t>
                  </w:r>
                </w:p>
              </w:tc>
              <w:tc>
                <w:tcPr>
                  <w:tcW w:w="2254" w:type="pct"/>
                  <w:noWrap w:val="0"/>
                  <w:vAlign w:val="center"/>
                </w:tcPr>
                <w:p>
                  <w:pPr>
                    <w:pStyle w:val="74"/>
                    <w:keepNext w:val="0"/>
                    <w:keepLines w:val="0"/>
                    <w:suppressLineNumbers w:val="0"/>
                    <w:overflowPunct/>
                    <w:autoSpaceDE/>
                    <w:autoSpaceDN/>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t>一级保护区水域边界外200米范围内的陆域，且不超过大坝迎水侧坝肩、道路迎水侧路肩及第一重山脊线</w:t>
                  </w:r>
                </w:p>
              </w:tc>
              <w:tc>
                <w:tcPr>
                  <w:tcW w:w="617" w:type="pct"/>
                  <w:vMerge w:val="restart"/>
                  <w:noWrap w:val="0"/>
                  <w:vAlign w:val="center"/>
                </w:tcPr>
                <w:p>
                  <w:pPr>
                    <w:pStyle w:val="74"/>
                    <w:keepNext w:val="0"/>
                    <w:keepLines w:val="0"/>
                    <w:suppressLineNumbers w:val="0"/>
                    <w:overflowPunct/>
                    <w:autoSpaceDE/>
                    <w:autoSpaceDN/>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t>项目西面1600m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000" w:type="pct"/>
                  <w:vMerge w:val="continue"/>
                  <w:noWrap w:val="0"/>
                  <w:vAlign w:val="center"/>
                </w:tcPr>
                <w:p>
                  <w:pPr>
                    <w:pStyle w:val="74"/>
                    <w:keepNext w:val="0"/>
                    <w:keepLines w:val="0"/>
                    <w:suppressLineNumbers w:val="0"/>
                    <w:overflowPunct/>
                    <w:autoSpaceDE/>
                    <w:autoSpaceDN/>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p>
              </w:tc>
              <w:tc>
                <w:tcPr>
                  <w:tcW w:w="373" w:type="pct"/>
                  <w:vMerge w:val="continue"/>
                  <w:noWrap w:val="0"/>
                  <w:vAlign w:val="center"/>
                </w:tcPr>
                <w:p>
                  <w:pPr>
                    <w:pStyle w:val="74"/>
                    <w:keepNext w:val="0"/>
                    <w:keepLines w:val="0"/>
                    <w:suppressLineNumbers w:val="0"/>
                    <w:overflowPunct/>
                    <w:autoSpaceDE/>
                    <w:autoSpaceDN/>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p>
              </w:tc>
              <w:tc>
                <w:tcPr>
                  <w:tcW w:w="3007" w:type="pct"/>
                  <w:gridSpan w:val="2"/>
                  <w:noWrap w:val="0"/>
                  <w:vAlign w:val="center"/>
                </w:tcPr>
                <w:p>
                  <w:pPr>
                    <w:pStyle w:val="74"/>
                    <w:keepNext w:val="0"/>
                    <w:keepLines w:val="0"/>
                    <w:suppressLineNumbers w:val="0"/>
                    <w:overflowPunct/>
                    <w:autoSpaceDE/>
                    <w:autoSpaceDN/>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t>大岩头泉水出露处水塘水域及外围小路</w:t>
                  </w:r>
                </w:p>
              </w:tc>
              <w:tc>
                <w:tcPr>
                  <w:tcW w:w="617" w:type="pct"/>
                  <w:vMerge w:val="continue"/>
                  <w:noWrap w:val="0"/>
                  <w:vAlign w:val="center"/>
                </w:tcPr>
                <w:p>
                  <w:pPr>
                    <w:pStyle w:val="74"/>
                    <w:keepNext w:val="0"/>
                    <w:keepLines w:val="0"/>
                    <w:suppressLineNumbers w:val="0"/>
                    <w:overflowPunct/>
                    <w:autoSpaceDE/>
                    <w:autoSpaceDN/>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000" w:type="pct"/>
                  <w:vMerge w:val="continue"/>
                  <w:noWrap w:val="0"/>
                  <w:vAlign w:val="center"/>
                </w:tcPr>
                <w:p>
                  <w:pPr>
                    <w:pStyle w:val="74"/>
                    <w:keepNext w:val="0"/>
                    <w:keepLines w:val="0"/>
                    <w:suppressLineNumbers w:val="0"/>
                    <w:overflowPunct/>
                    <w:autoSpaceDE/>
                    <w:autoSpaceDN/>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p>
              </w:tc>
              <w:tc>
                <w:tcPr>
                  <w:tcW w:w="373" w:type="pct"/>
                  <w:vMerge w:val="restart"/>
                  <w:noWrap w:val="0"/>
                  <w:vAlign w:val="center"/>
                </w:tcPr>
                <w:p>
                  <w:pPr>
                    <w:pStyle w:val="74"/>
                    <w:keepNext w:val="0"/>
                    <w:keepLines w:val="0"/>
                    <w:suppressLineNumbers w:val="0"/>
                    <w:overflowPunct/>
                    <w:autoSpaceDE/>
                    <w:autoSpaceDN/>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t>二级</w:t>
                  </w:r>
                </w:p>
              </w:tc>
              <w:tc>
                <w:tcPr>
                  <w:tcW w:w="752" w:type="pct"/>
                  <w:noWrap w:val="0"/>
                  <w:vAlign w:val="center"/>
                </w:tcPr>
                <w:p>
                  <w:pPr>
                    <w:pStyle w:val="74"/>
                    <w:keepNext w:val="0"/>
                    <w:keepLines w:val="0"/>
                    <w:suppressLineNumbers w:val="0"/>
                    <w:overflowPunct/>
                    <w:autoSpaceDE/>
                    <w:autoSpaceDN/>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t>/</w:t>
                  </w:r>
                </w:p>
              </w:tc>
              <w:tc>
                <w:tcPr>
                  <w:tcW w:w="2254" w:type="pct"/>
                  <w:noWrap w:val="0"/>
                  <w:vAlign w:val="center"/>
                </w:tcPr>
                <w:p>
                  <w:pPr>
                    <w:pStyle w:val="74"/>
                    <w:keepNext w:val="0"/>
                    <w:keepLines w:val="0"/>
                    <w:suppressLineNumbers w:val="0"/>
                    <w:overflowPunct/>
                    <w:autoSpaceDE/>
                    <w:autoSpaceDN/>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t>水库汇水区域</w:t>
                  </w:r>
                </w:p>
              </w:tc>
              <w:tc>
                <w:tcPr>
                  <w:tcW w:w="617" w:type="pct"/>
                  <w:vMerge w:val="continue"/>
                  <w:noWrap w:val="0"/>
                  <w:vAlign w:val="center"/>
                </w:tcPr>
                <w:p>
                  <w:pPr>
                    <w:pStyle w:val="74"/>
                    <w:keepNext w:val="0"/>
                    <w:keepLines w:val="0"/>
                    <w:suppressLineNumbers w:val="0"/>
                    <w:overflowPunct/>
                    <w:autoSpaceDE/>
                    <w:autoSpaceDN/>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000" w:type="pct"/>
                  <w:vMerge w:val="continue"/>
                  <w:noWrap w:val="0"/>
                  <w:vAlign w:val="center"/>
                </w:tcPr>
                <w:p>
                  <w:pPr>
                    <w:pStyle w:val="74"/>
                    <w:keepNext w:val="0"/>
                    <w:keepLines w:val="0"/>
                    <w:suppressLineNumbers w:val="0"/>
                    <w:overflowPunct/>
                    <w:autoSpaceDE/>
                    <w:autoSpaceDN/>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p>
              </w:tc>
              <w:tc>
                <w:tcPr>
                  <w:tcW w:w="373" w:type="pct"/>
                  <w:vMerge w:val="continue"/>
                  <w:noWrap w:val="0"/>
                  <w:vAlign w:val="center"/>
                </w:tcPr>
                <w:p>
                  <w:pPr>
                    <w:pStyle w:val="74"/>
                    <w:keepNext w:val="0"/>
                    <w:keepLines w:val="0"/>
                    <w:suppressLineNumbers w:val="0"/>
                    <w:overflowPunct/>
                    <w:autoSpaceDE/>
                    <w:autoSpaceDN/>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p>
              </w:tc>
              <w:tc>
                <w:tcPr>
                  <w:tcW w:w="3007" w:type="pct"/>
                  <w:gridSpan w:val="2"/>
                  <w:noWrap w:val="0"/>
                  <w:vAlign w:val="center"/>
                </w:tcPr>
                <w:p>
                  <w:pPr>
                    <w:pStyle w:val="74"/>
                    <w:keepNext w:val="0"/>
                    <w:keepLines w:val="0"/>
                    <w:suppressLineNumbers w:val="0"/>
                    <w:overflowPunct/>
                    <w:autoSpaceDE/>
                    <w:autoSpaceDN/>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t>大岩头泉水出露点集雨范围，不超过道路背水侧路肩</w:t>
                  </w:r>
                </w:p>
              </w:tc>
              <w:tc>
                <w:tcPr>
                  <w:tcW w:w="617" w:type="pct"/>
                  <w:vMerge w:val="continue"/>
                  <w:noWrap w:val="0"/>
                  <w:vAlign w:val="center"/>
                </w:tcPr>
                <w:p>
                  <w:pPr>
                    <w:pStyle w:val="74"/>
                    <w:keepNext w:val="0"/>
                    <w:keepLines w:val="0"/>
                    <w:suppressLineNumbers w:val="0"/>
                    <w:overflowPunct/>
                    <w:autoSpaceDE/>
                    <w:autoSpaceDN/>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cs="Times New Roman"/>
                <w:b/>
                <w:bCs/>
                <w:color w:val="000000" w:themeColor="text1"/>
                <w:kern w:val="0"/>
                <w:sz w:val="24"/>
                <w:u w:val="single"/>
                <w:lang w:eastAsia="zh-CN"/>
                <w14:textFill>
                  <w14:solidFill>
                    <w14:schemeClr w14:val="tx1"/>
                  </w14:solidFill>
                </w14:textFill>
              </w:rPr>
            </w:pPr>
            <w:r>
              <w:rPr>
                <w:rFonts w:hint="eastAsia" w:cs="Times New Roman"/>
                <w:b/>
                <w:bCs/>
                <w:color w:val="000000" w:themeColor="text1"/>
                <w:kern w:val="0"/>
                <w:sz w:val="24"/>
                <w:u w:val="single"/>
                <w:lang w:val="en-US" w:eastAsia="zh-CN"/>
                <w14:textFill>
                  <w14:solidFill>
                    <w14:schemeClr w14:val="tx1"/>
                  </w14:solidFill>
                </w14:textFill>
              </w:rPr>
              <w:t>2</w:t>
            </w:r>
            <w:r>
              <w:rPr>
                <w:rFonts w:hint="default" w:ascii="Times New Roman" w:hAnsi="Times New Roman" w:cs="Times New Roman"/>
                <w:b/>
                <w:bCs/>
                <w:color w:val="000000" w:themeColor="text1"/>
                <w:kern w:val="0"/>
                <w:sz w:val="24"/>
                <w:u w:val="single"/>
                <w:lang w:eastAsia="zh-CN"/>
                <w14:textFill>
                  <w14:solidFill>
                    <w14:schemeClr w14:val="tx1"/>
                  </w14:solidFill>
                </w14:textFill>
              </w:rPr>
              <w:t>、</w:t>
            </w:r>
            <w:r>
              <w:rPr>
                <w:rFonts w:hint="default" w:ascii="Times New Roman" w:hAnsi="Times New Roman" w:cs="Times New Roman"/>
                <w:b/>
                <w:bCs/>
                <w:color w:val="000000" w:themeColor="text1"/>
                <w:kern w:val="0"/>
                <w:sz w:val="24"/>
                <w:u w:val="single"/>
                <w:lang w:val="en-US" w:eastAsia="zh-CN"/>
                <w14:textFill>
                  <w14:solidFill>
                    <w14:schemeClr w14:val="tx1"/>
                  </w14:solidFill>
                </w14:textFill>
              </w:rPr>
              <w:t>声</w:t>
            </w:r>
            <w:r>
              <w:rPr>
                <w:rFonts w:hint="default" w:ascii="Times New Roman" w:hAnsi="Times New Roman" w:cs="Times New Roman"/>
                <w:b/>
                <w:bCs/>
                <w:color w:val="000000" w:themeColor="text1"/>
                <w:kern w:val="0"/>
                <w:sz w:val="24"/>
                <w:u w:val="single"/>
                <w:lang w:eastAsia="zh-CN"/>
                <w14:textFill>
                  <w14:solidFill>
                    <w14:schemeClr w14:val="tx1"/>
                  </w14:solidFill>
                </w14:textFill>
              </w:rPr>
              <w:t>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kern w:val="0"/>
                <w:sz w:val="24"/>
                <w:u w:val="single"/>
                <w:lang w:eastAsia="zh-CN"/>
                <w14:textFill>
                  <w14:solidFill>
                    <w14:schemeClr w14:val="tx1"/>
                  </w14:solidFill>
                </w14:textFill>
              </w:rPr>
            </w:pPr>
            <w:r>
              <w:rPr>
                <w:rFonts w:hint="default" w:ascii="Times New Roman" w:hAnsi="Times New Roman" w:eastAsia="宋体" w:cs="Times New Roman"/>
                <w:color w:val="000000" w:themeColor="text1"/>
                <w:kern w:val="0"/>
                <w:sz w:val="24"/>
                <w:u w:val="single"/>
                <w:lang w:eastAsia="zh-CN"/>
                <w14:textFill>
                  <w14:solidFill>
                    <w14:schemeClr w14:val="tx1"/>
                  </w14:solidFill>
                </w14:textFill>
              </w:rPr>
              <w:t>根据现场勘察，本项目厂界外50米范围内无敏感点，无声环境保护目标。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000000" w:themeColor="text1"/>
                <w:kern w:val="0"/>
                <w:sz w:val="24"/>
                <w:u w:val="single"/>
                <w:lang w:eastAsia="zh-CN"/>
                <w14:textFill>
                  <w14:solidFill>
                    <w14:schemeClr w14:val="tx1"/>
                  </w14:solidFill>
                </w14:textFill>
              </w:rPr>
            </w:pPr>
            <w:r>
              <w:rPr>
                <w:rFonts w:hint="eastAsia" w:cs="Times New Roman"/>
                <w:b/>
                <w:bCs/>
                <w:color w:val="000000" w:themeColor="text1"/>
                <w:kern w:val="0"/>
                <w:sz w:val="24"/>
                <w:u w:val="single"/>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4"/>
                <w:u w:val="single"/>
                <w:lang w:eastAsia="zh-CN"/>
                <w14:textFill>
                  <w14:solidFill>
                    <w14:schemeClr w14:val="tx1"/>
                  </w14:solidFill>
                </w14:textFill>
              </w:rPr>
              <w:t>、生态环境保护目标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000000" w:themeColor="text1"/>
                <w:kern w:val="0"/>
                <w:sz w:val="24"/>
                <w:u w:val="singl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u w:val="single"/>
                <w:lang w:eastAsia="zh-CN"/>
                <w14:textFill>
                  <w14:solidFill>
                    <w14:schemeClr w14:val="tx1"/>
                  </w14:solidFill>
                </w14:textFill>
              </w:rPr>
              <w:t>本工程评价范围内不涉及《环境影响评价技术导则</w:t>
            </w:r>
            <w:r>
              <w:rPr>
                <w:rFonts w:hint="eastAsia" w:cs="Times New Roman"/>
                <w:b w:val="0"/>
                <w:bCs w:val="0"/>
                <w:color w:val="000000" w:themeColor="text1"/>
                <w:kern w:val="0"/>
                <w:sz w:val="24"/>
                <w:u w:val="singl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kern w:val="0"/>
                <w:sz w:val="24"/>
                <w:u w:val="single"/>
                <w:lang w:eastAsia="zh-CN"/>
                <w14:textFill>
                  <w14:solidFill>
                    <w14:schemeClr w14:val="tx1"/>
                  </w14:solidFill>
                </w14:textFill>
              </w:rPr>
              <w:t>生态影响》（HJ19-2022）中定义的生态敏感区，无生态环境敏感目标。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000000" w:themeColor="text1"/>
                <w:kern w:val="0"/>
                <w:sz w:val="24"/>
                <w:u w:val="single"/>
                <w:lang w:eastAsia="zh-CN"/>
                <w14:textFill>
                  <w14:solidFill>
                    <w14:schemeClr w14:val="tx1"/>
                  </w14:solidFill>
                </w14:textFill>
              </w:rPr>
            </w:pPr>
            <w:r>
              <w:rPr>
                <w:rFonts w:hint="eastAsia" w:cs="Times New Roman"/>
                <w:b/>
                <w:bCs/>
                <w:color w:val="000000" w:themeColor="text1"/>
                <w:kern w:val="0"/>
                <w:sz w:val="24"/>
                <w:u w:val="single"/>
                <w:lang w:val="en-US" w:eastAsia="zh-CN"/>
                <w14:textFill>
                  <w14:solidFill>
                    <w14:schemeClr w14:val="tx1"/>
                  </w14:solidFill>
                </w14:textFill>
              </w:rPr>
              <w:t>4</w:t>
            </w:r>
            <w:r>
              <w:rPr>
                <w:rFonts w:hint="default" w:ascii="Times New Roman" w:hAnsi="Times New Roman" w:eastAsia="宋体" w:cs="Times New Roman"/>
                <w:b/>
                <w:bCs/>
                <w:color w:val="000000" w:themeColor="text1"/>
                <w:kern w:val="0"/>
                <w:sz w:val="24"/>
                <w:u w:val="single"/>
                <w:lang w:eastAsia="zh-CN"/>
                <w14:textFill>
                  <w14:solidFill>
                    <w14:schemeClr w14:val="tx1"/>
                  </w14:solidFill>
                </w14:textFill>
              </w:rPr>
              <w:t>、电磁环境保护目标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u w:val="single"/>
                <w:lang w:eastAsia="zh-CN"/>
                <w14:textFill>
                  <w14:solidFill>
                    <w14:schemeClr w14:val="tx1"/>
                  </w14:solidFill>
                </w14:textFill>
              </w:rPr>
              <w:t>经现场调查，本项目升压站站界外</w:t>
            </w:r>
            <w:r>
              <w:rPr>
                <w:rFonts w:hint="default" w:ascii="Times New Roman" w:hAnsi="Times New Roman" w:cs="Times New Roman"/>
                <w:b w:val="0"/>
                <w:bCs w:val="0"/>
                <w:color w:val="000000" w:themeColor="text1"/>
                <w:kern w:val="0"/>
                <w:sz w:val="24"/>
                <w:u w:val="singl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0"/>
                <w:sz w:val="24"/>
                <w:u w:val="single"/>
                <w:lang w:eastAsia="zh-CN"/>
                <w14:textFill>
                  <w14:solidFill>
                    <w14:schemeClr w14:val="tx1"/>
                  </w14:solidFill>
                </w14:textFill>
              </w:rPr>
              <w:t>0m 范围内不涉及居民区、自然保护区、风景名胜区和珍稀动植物集中分布区等需要特殊保护的区域，故本项目</w:t>
            </w:r>
            <w:r>
              <w:rPr>
                <w:rFonts w:hint="eastAsia" w:cs="Times New Roman"/>
                <w:b w:val="0"/>
                <w:bCs w:val="0"/>
                <w:color w:val="000000" w:themeColor="text1"/>
                <w:kern w:val="0"/>
                <w:sz w:val="24"/>
                <w:u w:val="single"/>
                <w:lang w:eastAsia="zh-CN"/>
                <w14:textFill>
                  <w14:solidFill>
                    <w14:schemeClr w14:val="tx1"/>
                  </w14:solidFill>
                </w14:textFill>
              </w:rPr>
              <w:t>无</w:t>
            </w:r>
            <w:r>
              <w:rPr>
                <w:rFonts w:hint="default" w:ascii="Times New Roman" w:hAnsi="Times New Roman" w:eastAsia="宋体" w:cs="Times New Roman"/>
                <w:b w:val="0"/>
                <w:bCs w:val="0"/>
                <w:color w:val="000000" w:themeColor="text1"/>
                <w:kern w:val="0"/>
                <w:sz w:val="24"/>
                <w:u w:val="single"/>
                <w:lang w:eastAsia="zh-CN"/>
                <w14:textFill>
                  <w14:solidFill>
                    <w14:schemeClr w14:val="tx1"/>
                  </w14:solidFill>
                </w14:textFill>
              </w:rPr>
              <w:t>电磁环境保护目标。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评价标准</w:t>
            </w:r>
          </w:p>
        </w:tc>
        <w:tc>
          <w:tcPr>
            <w:tcW w:w="8277" w:type="dxa"/>
            <w:noWrap w:val="0"/>
            <w:vAlign w:val="center"/>
          </w:tcPr>
          <w:p>
            <w:pPr>
              <w:keepNext w:val="0"/>
              <w:keepLines w:val="0"/>
              <w:numPr>
                <w:ilvl w:val="0"/>
                <w:numId w:val="0"/>
              </w:numPr>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lang w:val="en-US" w:eastAsia="zh-CN"/>
                <w14:textFill>
                  <w14:solidFill>
                    <w14:schemeClr w14:val="tx1"/>
                  </w14:solidFill>
                </w14:textFill>
              </w:rPr>
              <w:t>1、</w:t>
            </w:r>
            <w:r>
              <w:rPr>
                <w:rFonts w:hint="default" w:ascii="Times New Roman" w:hAnsi="Times New Roman" w:cs="Times New Roman"/>
                <w:b/>
                <w:bCs/>
                <w:color w:val="000000" w:themeColor="text1"/>
                <w:kern w:val="0"/>
                <w:sz w:val="24"/>
                <w14:textFill>
                  <w14:solidFill>
                    <w14:schemeClr w14:val="tx1"/>
                  </w14:solidFill>
                </w14:textFill>
              </w:rPr>
              <w:t>环境质量标准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lang w:val="en-US" w:eastAsia="zh-CN"/>
                <w14:textFill>
                  <w14:solidFill>
                    <w14:schemeClr w14:val="tx1"/>
                  </w14:solidFill>
                </w14:textFill>
              </w:rPr>
              <w:t>（1）</w:t>
            </w:r>
            <w:r>
              <w:rPr>
                <w:rFonts w:hint="default" w:ascii="Times New Roman" w:hAnsi="Times New Roman" w:cs="Times New Roman"/>
                <w:b/>
                <w:bCs/>
                <w:color w:val="000000" w:themeColor="text1"/>
                <w:kern w:val="0"/>
                <w:sz w:val="24"/>
                <w14:textFill>
                  <w14:solidFill>
                    <w14:schemeClr w14:val="tx1"/>
                  </w14:solidFill>
                </w14:textFill>
              </w:rPr>
              <w:t>环境空气</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根据功能区划，项目所在地执行《环境空气质量标准》(GB3095－2012)中二级标准，具体见表3-</w:t>
            </w:r>
            <w:r>
              <w:rPr>
                <w:rFonts w:hint="eastAsia" w:cs="Times New Roman"/>
                <w:color w:val="000000" w:themeColor="text1"/>
                <w:kern w:val="0"/>
                <w:sz w:val="24"/>
                <w:lang w:val="en-US" w:eastAsia="zh-CN"/>
                <w14:textFill>
                  <w14:solidFill>
                    <w14:schemeClr w14:val="tx1"/>
                  </w14:solidFill>
                </w14:textFill>
              </w:rPr>
              <w:t>5</w:t>
            </w:r>
            <w:r>
              <w:rPr>
                <w:rFonts w:hint="default" w:ascii="Times New Roman" w:hAnsi="Times New Roman" w:cs="Times New Roman"/>
                <w:color w:val="000000" w:themeColor="text1"/>
                <w:kern w:val="0"/>
                <w:sz w:val="24"/>
                <w14:textFill>
                  <w14:solidFill>
                    <w14:schemeClr w14:val="tx1"/>
                  </w14:solidFill>
                </w14:textFill>
              </w:rPr>
              <w:t>。</w:t>
            </w:r>
          </w:p>
          <w:p>
            <w:pPr>
              <w:pStyle w:val="5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baseline"/>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表</w:t>
            </w:r>
            <w:r>
              <w:rPr>
                <w:rFonts w:hint="default" w:ascii="Times New Roman" w:hAnsi="Times New Roman" w:cs="Times New Roman"/>
                <w:color w:val="000000" w:themeColor="text1"/>
                <w:sz w:val="21"/>
                <w:szCs w:val="21"/>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Cs/>
                <w:color w:val="000000" w:themeColor="text1"/>
                <w:sz w:val="21"/>
                <w:szCs w:val="21"/>
                <w14:textFill>
                  <w14:solidFill>
                    <w14:schemeClr w14:val="tx1"/>
                  </w14:solidFill>
                </w14:textFill>
              </w:rPr>
              <w:t>环境空气污染物浓度限值</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94"/>
              <w:gridCol w:w="1535"/>
              <w:gridCol w:w="2197"/>
              <w:gridCol w:w="1266"/>
              <w:gridCol w:w="14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blHeader/>
                <w:jc w:val="center"/>
              </w:trPr>
              <w:tc>
                <w:tcPr>
                  <w:tcW w:w="992" w:type="pct"/>
                  <w:vMerge w:val="restart"/>
                  <w:noWrap w:val="0"/>
                  <w:vAlign w:val="center"/>
                </w:tcPr>
                <w:p>
                  <w:pPr>
                    <w:pStyle w:val="74"/>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w:t>
                  </w:r>
                </w:p>
              </w:tc>
              <w:tc>
                <w:tcPr>
                  <w:tcW w:w="3110" w:type="pct"/>
                  <w:gridSpan w:val="3"/>
                  <w:noWrap w:val="0"/>
                  <w:vAlign w:val="center"/>
                </w:tcPr>
                <w:p>
                  <w:pPr>
                    <w:pStyle w:val="74"/>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标准值</w:t>
                  </w:r>
                </w:p>
              </w:tc>
              <w:tc>
                <w:tcPr>
                  <w:tcW w:w="896" w:type="pct"/>
                  <w:vMerge w:val="restart"/>
                  <w:noWrap w:val="0"/>
                  <w:vAlign w:val="center"/>
                </w:tcPr>
                <w:p>
                  <w:pPr>
                    <w:pStyle w:val="74"/>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992" w:type="pct"/>
                  <w:vMerge w:val="continue"/>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p>
              </w:tc>
              <w:tc>
                <w:tcPr>
                  <w:tcW w:w="955" w:type="pct"/>
                  <w:noWrap w:val="0"/>
                  <w:vAlign w:val="center"/>
                </w:tcPr>
                <w:p>
                  <w:pPr>
                    <w:pStyle w:val="74"/>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1小时浓度</w:t>
                  </w:r>
                </w:p>
              </w:tc>
              <w:tc>
                <w:tcPr>
                  <w:tcW w:w="1367" w:type="pct"/>
                  <w:noWrap w:val="0"/>
                  <w:vAlign w:val="center"/>
                </w:tcPr>
                <w:p>
                  <w:pPr>
                    <w:pStyle w:val="74"/>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24小时平均</w:t>
                  </w:r>
                </w:p>
              </w:tc>
              <w:tc>
                <w:tcPr>
                  <w:tcW w:w="788" w:type="pct"/>
                  <w:noWrap w:val="0"/>
                  <w:vAlign w:val="center"/>
                </w:tcPr>
                <w:p>
                  <w:pPr>
                    <w:pStyle w:val="74"/>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w:t>
                  </w:r>
                </w:p>
              </w:tc>
              <w:tc>
                <w:tcPr>
                  <w:tcW w:w="896" w:type="pct"/>
                  <w:vMerge w:val="continue"/>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992"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（ug/m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tc>
              <w:tc>
                <w:tcPr>
                  <w:tcW w:w="955"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w:t>
                  </w:r>
                </w:p>
              </w:tc>
              <w:tc>
                <w:tcPr>
                  <w:tcW w:w="1367"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150</w:t>
                  </w:r>
                </w:p>
              </w:tc>
              <w:tc>
                <w:tcPr>
                  <w:tcW w:w="788"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896" w:type="pct"/>
                  <w:vMerge w:val="restar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GB3095-2012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992"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（ug/m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tc>
              <w:tc>
                <w:tcPr>
                  <w:tcW w:w="955"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w:t>
                  </w:r>
                </w:p>
              </w:tc>
              <w:tc>
                <w:tcPr>
                  <w:tcW w:w="1367"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80</w:t>
                  </w:r>
                </w:p>
              </w:tc>
              <w:tc>
                <w:tcPr>
                  <w:tcW w:w="788"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w:t>
                  </w:r>
                </w:p>
              </w:tc>
              <w:tc>
                <w:tcPr>
                  <w:tcW w:w="896" w:type="pct"/>
                  <w:vMerge w:val="continue"/>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992"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tc>
              <w:tc>
                <w:tcPr>
                  <w:tcW w:w="955"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c>
                <w:tcPr>
                  <w:tcW w:w="1367"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788"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896" w:type="pct"/>
                  <w:vMerge w:val="continue"/>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992"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O</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（ug/m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tc>
              <w:tc>
                <w:tcPr>
                  <w:tcW w:w="955"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200</w:t>
                  </w:r>
                </w:p>
              </w:tc>
              <w:tc>
                <w:tcPr>
                  <w:tcW w:w="1367"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160（日最大8h平均）</w:t>
                  </w:r>
                </w:p>
              </w:tc>
              <w:tc>
                <w:tcPr>
                  <w:tcW w:w="788"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896" w:type="pct"/>
                  <w:vMerge w:val="continue"/>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992"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10</w:t>
                  </w:r>
                  <w:r>
                    <w:rPr>
                      <w:rFonts w:hint="default" w:ascii="Times New Roman" w:hAnsi="Times New Roman" w:cs="Times New Roman"/>
                      <w:color w:val="000000" w:themeColor="text1"/>
                      <w:sz w:val="21"/>
                      <w:szCs w:val="21"/>
                      <w14:textFill>
                        <w14:solidFill>
                          <w14:schemeClr w14:val="tx1"/>
                        </w14:solidFill>
                      </w14:textFill>
                    </w:rPr>
                    <w:t>（ug/m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tc>
              <w:tc>
                <w:tcPr>
                  <w:tcW w:w="955"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367"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150</w:t>
                  </w:r>
                </w:p>
              </w:tc>
              <w:tc>
                <w:tcPr>
                  <w:tcW w:w="788"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896" w:type="pct"/>
                  <w:vMerge w:val="continue"/>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992"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2.5</w:t>
                  </w:r>
                  <w:r>
                    <w:rPr>
                      <w:rFonts w:hint="default" w:ascii="Times New Roman" w:hAnsi="Times New Roman" w:cs="Times New Roman"/>
                      <w:color w:val="000000" w:themeColor="text1"/>
                      <w:sz w:val="21"/>
                      <w:szCs w:val="21"/>
                      <w14:textFill>
                        <w14:solidFill>
                          <w14:schemeClr w14:val="tx1"/>
                        </w14:solidFill>
                      </w14:textFill>
                    </w:rPr>
                    <w:t>（ug/m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tc>
              <w:tc>
                <w:tcPr>
                  <w:tcW w:w="955"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367"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75</w:t>
                  </w:r>
                </w:p>
              </w:tc>
              <w:tc>
                <w:tcPr>
                  <w:tcW w:w="788"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w:t>
                  </w:r>
                </w:p>
              </w:tc>
              <w:tc>
                <w:tcPr>
                  <w:tcW w:w="896" w:type="pct"/>
                  <w:vMerge w:val="continue"/>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992"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TSP（ug/m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tc>
              <w:tc>
                <w:tcPr>
                  <w:tcW w:w="955"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367"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300</w:t>
                  </w:r>
                </w:p>
              </w:tc>
              <w:tc>
                <w:tcPr>
                  <w:tcW w:w="788"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w:t>
                  </w:r>
                </w:p>
              </w:tc>
              <w:tc>
                <w:tcPr>
                  <w:tcW w:w="896" w:type="pct"/>
                  <w:vMerge w:val="continue"/>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lang w:val="en-US" w:eastAsia="zh-CN"/>
                <w14:textFill>
                  <w14:solidFill>
                    <w14:schemeClr w14:val="tx1"/>
                  </w14:solidFill>
                </w14:textFill>
              </w:rPr>
              <w:t>（2）</w:t>
            </w:r>
            <w:r>
              <w:rPr>
                <w:rFonts w:hint="default" w:ascii="Times New Roman" w:hAnsi="Times New Roman" w:cs="Times New Roman"/>
                <w:b/>
                <w:bCs/>
                <w:color w:val="000000" w:themeColor="text1"/>
                <w:kern w:val="0"/>
                <w:sz w:val="24"/>
                <w14:textFill>
                  <w14:solidFill>
                    <w14:schemeClr w14:val="tx1"/>
                  </w14:solidFill>
                </w14:textFill>
              </w:rPr>
              <w:t>声环境</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56" w:firstLineChars="200"/>
              <w:textAlignment w:val="auto"/>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cs="Times New Roman"/>
                <w:color w:val="000000" w:themeColor="text1"/>
                <w:spacing w:val="-6"/>
                <w:sz w:val="24"/>
                <w:u w:val="none"/>
                <w14:textFill>
                  <w14:solidFill>
                    <w14:schemeClr w14:val="tx1"/>
                  </w14:solidFill>
                </w14:textFill>
              </w:rPr>
              <w:t>项目建设区域声环境执行《声环境质量标准》（GB 3096-2008）2 类标准</w:t>
            </w:r>
            <w:r>
              <w:rPr>
                <w:rFonts w:hint="default" w:ascii="Times New Roman" w:hAnsi="Times New Roman" w:cs="Times New Roman"/>
                <w:color w:val="000000" w:themeColor="text1"/>
                <w:kern w:val="0"/>
                <w:sz w:val="24"/>
                <w:lang w:eastAsia="zh-CN"/>
                <w14:textFill>
                  <w14:solidFill>
                    <w14:schemeClr w14:val="tx1"/>
                  </w14:solidFill>
                </w14:textFill>
              </w:rPr>
              <w:t>。</w:t>
            </w:r>
          </w:p>
          <w:p>
            <w:pPr>
              <w:pStyle w:val="5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363" w:right="0"/>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eastAsia"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《声环境质量标准》（GB3096-2008）摘录</w:t>
            </w:r>
          </w:p>
          <w:tbl>
            <w:tblPr>
              <w:tblStyle w:val="22"/>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75"/>
              <w:gridCol w:w="2676"/>
              <w:gridCol w:w="26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5" w:hRule="atLeast"/>
                <w:tblHeader/>
              </w:trPr>
              <w:tc>
                <w:tcPr>
                  <w:tcW w:w="1666" w:type="pct"/>
                  <w:noWrap w:val="0"/>
                  <w:vAlign w:val="center"/>
                </w:tcPr>
                <w:p>
                  <w:pPr>
                    <w:pStyle w:val="59"/>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pacing w:val="10"/>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声环境功能区类别</w:t>
                  </w:r>
                </w:p>
              </w:tc>
              <w:tc>
                <w:tcPr>
                  <w:tcW w:w="1666" w:type="pct"/>
                  <w:noWrap w:val="0"/>
                  <w:vAlign w:val="center"/>
                </w:tcPr>
                <w:p>
                  <w:pPr>
                    <w:pStyle w:val="59"/>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pacing w:val="10"/>
                      <w14:textFill>
                        <w14:solidFill>
                          <w14:schemeClr w14:val="tx1"/>
                        </w14:solidFill>
                      </w14:textFill>
                    </w:rPr>
                  </w:pPr>
                  <w:r>
                    <w:rPr>
                      <w:rFonts w:hint="default" w:ascii="Times New Roman" w:hAnsi="Times New Roman" w:cs="Times New Roman"/>
                      <w:b/>
                      <w:bCs/>
                      <w:color w:val="000000" w:themeColor="text1"/>
                      <w:spacing w:val="10"/>
                      <w14:textFill>
                        <w14:solidFill>
                          <w14:schemeClr w14:val="tx1"/>
                        </w14:solidFill>
                      </w14:textFill>
                    </w:rPr>
                    <w:t>昼间</w:t>
                  </w:r>
                </w:p>
              </w:tc>
              <w:tc>
                <w:tcPr>
                  <w:tcW w:w="1667" w:type="pct"/>
                  <w:noWrap w:val="0"/>
                  <w:vAlign w:val="center"/>
                </w:tcPr>
                <w:p>
                  <w:pPr>
                    <w:pStyle w:val="59"/>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pacing w:val="10"/>
                      <w14:textFill>
                        <w14:solidFill>
                          <w14:schemeClr w14:val="tx1"/>
                        </w14:solidFill>
                      </w14:textFill>
                    </w:rPr>
                  </w:pPr>
                  <w:r>
                    <w:rPr>
                      <w:rFonts w:hint="default" w:ascii="Times New Roman" w:hAnsi="Times New Roman" w:cs="Times New Roman"/>
                      <w:b/>
                      <w:bCs/>
                      <w:color w:val="000000" w:themeColor="text1"/>
                      <w:spacing w:val="10"/>
                      <w14:textFill>
                        <w14:solidFill>
                          <w14:schemeClr w14:val="tx1"/>
                        </w14:solidFill>
                      </w14:textFill>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666" w:type="pct"/>
                  <w:noWrap w:val="0"/>
                  <w:vAlign w:val="center"/>
                </w:tcPr>
                <w:p>
                  <w:pPr>
                    <w:pStyle w:val="59"/>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pacing w:val="10"/>
                      <w:lang w:val="en-US" w:eastAsia="zh-CN"/>
                      <w14:textFill>
                        <w14:solidFill>
                          <w14:schemeClr w14:val="tx1"/>
                        </w14:solidFill>
                      </w14:textFill>
                    </w:rPr>
                  </w:pPr>
                  <w:r>
                    <w:rPr>
                      <w:rFonts w:hint="default" w:ascii="Times New Roman" w:hAnsi="Times New Roman" w:cs="Times New Roman"/>
                      <w:color w:val="000000" w:themeColor="text1"/>
                      <w:spacing w:val="10"/>
                      <w:lang w:val="en-US" w:eastAsia="zh-CN"/>
                      <w14:textFill>
                        <w14:solidFill>
                          <w14:schemeClr w14:val="tx1"/>
                        </w14:solidFill>
                      </w14:textFill>
                    </w:rPr>
                    <w:t>2类</w:t>
                  </w:r>
                </w:p>
              </w:tc>
              <w:tc>
                <w:tcPr>
                  <w:tcW w:w="1666" w:type="pct"/>
                  <w:noWrap w:val="0"/>
                  <w:vAlign w:val="center"/>
                </w:tcPr>
                <w:p>
                  <w:pPr>
                    <w:pStyle w:val="59"/>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pacing w:val="10"/>
                      <w:lang w:val="en-US" w:eastAsia="zh-CN"/>
                      <w14:textFill>
                        <w14:solidFill>
                          <w14:schemeClr w14:val="tx1"/>
                        </w14:solidFill>
                      </w14:textFill>
                    </w:rPr>
                  </w:pPr>
                  <w:r>
                    <w:rPr>
                      <w:rFonts w:hint="default" w:ascii="Times New Roman" w:hAnsi="Times New Roman" w:cs="Times New Roman"/>
                      <w:color w:val="000000" w:themeColor="text1"/>
                      <w:spacing w:val="10"/>
                      <w:lang w:val="en-US" w:eastAsia="zh-CN"/>
                      <w14:textFill>
                        <w14:solidFill>
                          <w14:schemeClr w14:val="tx1"/>
                        </w14:solidFill>
                      </w14:textFill>
                    </w:rPr>
                    <w:t>60</w:t>
                  </w:r>
                  <w:r>
                    <w:rPr>
                      <w:rFonts w:hint="default" w:ascii="Times New Roman" w:hAnsi="Times New Roman" w:cs="Times New Roman"/>
                      <w:color w:val="000000" w:themeColor="text1"/>
                      <w:spacing w:val="10"/>
                      <w14:textFill>
                        <w14:solidFill>
                          <w14:schemeClr w14:val="tx1"/>
                        </w14:solidFill>
                      </w14:textFill>
                    </w:rPr>
                    <w:t>dB（A）</w:t>
                  </w:r>
                </w:p>
              </w:tc>
              <w:tc>
                <w:tcPr>
                  <w:tcW w:w="1667" w:type="pct"/>
                  <w:noWrap w:val="0"/>
                  <w:vAlign w:val="center"/>
                </w:tcPr>
                <w:p>
                  <w:pPr>
                    <w:pStyle w:val="59"/>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pacing w:val="10"/>
                      <w:lang w:val="en-US" w:eastAsia="zh-CN"/>
                      <w14:textFill>
                        <w14:solidFill>
                          <w14:schemeClr w14:val="tx1"/>
                        </w14:solidFill>
                      </w14:textFill>
                    </w:rPr>
                  </w:pPr>
                  <w:r>
                    <w:rPr>
                      <w:rFonts w:hint="default" w:ascii="Times New Roman" w:hAnsi="Times New Roman" w:cs="Times New Roman"/>
                      <w:color w:val="000000" w:themeColor="text1"/>
                      <w:spacing w:val="10"/>
                      <w:lang w:val="en-US" w:eastAsia="zh-CN"/>
                      <w14:textFill>
                        <w14:solidFill>
                          <w14:schemeClr w14:val="tx1"/>
                        </w14:solidFill>
                      </w14:textFill>
                    </w:rPr>
                    <w:t>50</w:t>
                  </w:r>
                  <w:r>
                    <w:rPr>
                      <w:rFonts w:hint="default" w:ascii="Times New Roman" w:hAnsi="Times New Roman" w:cs="Times New Roman"/>
                      <w:color w:val="000000" w:themeColor="text1"/>
                      <w:spacing w:val="10"/>
                      <w14:textFill>
                        <w14:solidFill>
                          <w14:schemeClr w14:val="tx1"/>
                        </w14:solidFill>
                      </w14:textFill>
                    </w:rPr>
                    <w:t>dB（A）</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w:t>
            </w:r>
            <w:r>
              <w:rPr>
                <w:rFonts w:hint="eastAsia" w:cs="Times New Roman"/>
                <w:b/>
                <w:bCs/>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）工频电场、工频磁场</w:t>
            </w:r>
          </w:p>
          <w:p>
            <w:pPr>
              <w:pStyle w:val="78"/>
              <w:keepNext w:val="0"/>
              <w:keepLines w:val="0"/>
              <w:widowControl/>
              <w:suppressLineNumbers w:val="0"/>
              <w:spacing w:before="0" w:beforeAutospacing="0" w:after="0" w:afterAutospacing="0"/>
              <w:ind w:left="0" w:right="0" w:firstLine="480"/>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lang w:eastAsia="zh-CN"/>
                <w14:textFill>
                  <w14:solidFill>
                    <w14:schemeClr w14:val="tx1"/>
                  </w14:solidFill>
                </w14:textFill>
              </w:rPr>
              <w:t>工频电场、工频磁场执行标准值参见表</w:t>
            </w:r>
            <w:r>
              <w:rPr>
                <w:rFonts w:hint="default" w:ascii="Times New Roman" w:hAnsi="Times New Roman" w:cs="Times New Roman"/>
                <w:color w:val="000000" w:themeColor="text1"/>
                <w:szCs w:val="20"/>
                <w:lang w:val="en-US" w:eastAsia="zh-CN"/>
                <w14:textFill>
                  <w14:solidFill>
                    <w14:schemeClr w14:val="tx1"/>
                  </w14:solidFill>
                </w14:textFill>
              </w:rPr>
              <w:t>3-</w:t>
            </w:r>
            <w:r>
              <w:rPr>
                <w:rFonts w:hint="eastAsia" w:ascii="Times New Roman" w:hAnsi="Times New Roman" w:cs="Times New Roman"/>
                <w:color w:val="000000" w:themeColor="text1"/>
                <w:szCs w:val="20"/>
                <w:lang w:val="en-US" w:eastAsia="zh-CN"/>
                <w14:textFill>
                  <w14:solidFill>
                    <w14:schemeClr w14:val="tx1"/>
                  </w14:solidFill>
                </w14:textFill>
              </w:rPr>
              <w:t>7</w:t>
            </w:r>
            <w:r>
              <w:rPr>
                <w:rFonts w:hint="default" w:ascii="Times New Roman" w:hAnsi="Times New Roman" w:cs="Times New Roman"/>
                <w:color w:val="000000" w:themeColor="text1"/>
                <w:szCs w:val="20"/>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表</w:t>
            </w:r>
            <w:r>
              <w:rPr>
                <w:rFonts w:hint="default" w:ascii="Times New Roman" w:hAnsi="Times New Roman" w:cs="Times New Roman"/>
                <w:b/>
                <w:bCs/>
                <w:color w:val="000000" w:themeColor="text1"/>
                <w:sz w:val="21"/>
                <w:szCs w:val="21"/>
                <w:lang w:val="en-US" w:eastAsia="zh-CN"/>
                <w14:textFill>
                  <w14:solidFill>
                    <w14:schemeClr w14:val="tx1"/>
                  </w14:solidFill>
                </w14:textFill>
              </w:rPr>
              <w:t>3-</w:t>
            </w:r>
            <w:r>
              <w:rPr>
                <w:rFonts w:hint="eastAsia" w:cs="Times New Roman"/>
                <w:b/>
                <w:bCs/>
                <w:color w:val="000000" w:themeColor="text1"/>
                <w:sz w:val="21"/>
                <w:szCs w:val="21"/>
                <w:lang w:val="en-US" w:eastAsia="zh-CN"/>
                <w14:textFill>
                  <w14:solidFill>
                    <w14:schemeClr w14:val="tx1"/>
                  </w14:solidFill>
                </w14:textFill>
              </w:rPr>
              <w:t>7</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工频电场、工频磁场评价标准值</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1216"/>
              <w:gridCol w:w="3562"/>
              <w:gridCol w:w="20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5" w:type="pct"/>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影响因子</w:t>
                  </w:r>
                </w:p>
              </w:tc>
              <w:tc>
                <w:tcPr>
                  <w:tcW w:w="2974" w:type="pct"/>
                  <w:gridSpan w:val="2"/>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评价标准（频率为50HZ时公众暴露控制限值）</w:t>
                  </w:r>
                </w:p>
              </w:tc>
              <w:tc>
                <w:tcPr>
                  <w:tcW w:w="1270" w:type="pct"/>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5" w:type="pct"/>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工频电场</w:t>
                  </w:r>
                </w:p>
              </w:tc>
              <w:tc>
                <w:tcPr>
                  <w:tcW w:w="757" w:type="pct"/>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4kV/m</w:t>
                  </w:r>
                </w:p>
              </w:tc>
              <w:tc>
                <w:tcPr>
                  <w:tcW w:w="2217" w:type="pct"/>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变电站周边及交流输电线路电池环境敏感目标处</w:t>
                  </w:r>
                </w:p>
              </w:tc>
              <w:tc>
                <w:tcPr>
                  <w:tcW w:w="1270" w:type="pct"/>
                  <w:vMerge w:val="restart"/>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《电磁环境控制限值》（GB8702-2014）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5" w:type="pct"/>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工频磁场</w:t>
                  </w:r>
                </w:p>
              </w:tc>
              <w:tc>
                <w:tcPr>
                  <w:tcW w:w="2974" w:type="pct"/>
                  <w:gridSpan w:val="2"/>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100uT</w:t>
                  </w:r>
                </w:p>
              </w:tc>
              <w:tc>
                <w:tcPr>
                  <w:tcW w:w="1270" w:type="pct"/>
                  <w:vMerge w:val="continue"/>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r>
          </w:tbl>
          <w:p>
            <w:pPr>
              <w:keepNext w:val="0"/>
              <w:keepLines w:val="0"/>
              <w:numPr>
                <w:ilvl w:val="0"/>
                <w:numId w:val="0"/>
              </w:numPr>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lang w:val="en-US" w:eastAsia="zh-CN"/>
                <w14:textFill>
                  <w14:solidFill>
                    <w14:schemeClr w14:val="tx1"/>
                  </w14:solidFill>
                </w14:textFill>
              </w:rPr>
              <w:t>2、</w:t>
            </w:r>
            <w:r>
              <w:rPr>
                <w:rFonts w:hint="default" w:ascii="Times New Roman" w:hAnsi="Times New Roman" w:cs="Times New Roman"/>
                <w:b/>
                <w:bCs/>
                <w:color w:val="000000" w:themeColor="text1"/>
                <w:kern w:val="0"/>
                <w:sz w:val="24"/>
                <w14:textFill>
                  <w14:solidFill>
                    <w14:schemeClr w14:val="tx1"/>
                  </w14:solidFill>
                </w14:textFill>
              </w:rPr>
              <w:t>污染物排放标准</w:t>
            </w:r>
          </w:p>
          <w:p>
            <w:pPr>
              <w:keepNext w:val="0"/>
              <w:keepLines w:val="0"/>
              <w:numPr>
                <w:ilvl w:val="0"/>
                <w:numId w:val="0"/>
              </w:numPr>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kern w:val="0"/>
                <w:sz w:val="24"/>
                <w:lang w:eastAsia="zh-CN"/>
                <w14:textFill>
                  <w14:solidFill>
                    <w14:schemeClr w14:val="tx1"/>
                  </w14:solidFill>
                </w14:textFill>
              </w:rPr>
            </w:pPr>
            <w:r>
              <w:rPr>
                <w:rFonts w:hint="default" w:ascii="Times New Roman" w:hAnsi="Times New Roman" w:cs="Times New Roman"/>
                <w:b/>
                <w:bCs/>
                <w:color w:val="000000" w:themeColor="text1"/>
                <w:kern w:val="0"/>
                <w:sz w:val="24"/>
                <w:lang w:val="en-US" w:eastAsia="zh-CN"/>
                <w14:textFill>
                  <w14:solidFill>
                    <w14:schemeClr w14:val="tx1"/>
                  </w14:solidFill>
                </w14:textFill>
              </w:rPr>
              <w:t>（1）</w:t>
            </w:r>
            <w:r>
              <w:rPr>
                <w:rFonts w:hint="default" w:ascii="Times New Roman" w:hAnsi="Times New Roman" w:cs="Times New Roman"/>
                <w:b/>
                <w:bCs/>
                <w:color w:val="000000" w:themeColor="text1"/>
                <w:kern w:val="0"/>
                <w:sz w:val="24"/>
                <w14:textFill>
                  <w14:solidFill>
                    <w14:schemeClr w14:val="tx1"/>
                  </w14:solidFill>
                </w14:textFill>
              </w:rPr>
              <w:t>废气</w:t>
            </w:r>
          </w:p>
          <w:p>
            <w:pPr>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施工期</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本项目施工期产生的无组织颗粒物排放浓度执行《大气污染物综合排放标准》（GB 16297-1996）表2 中无组织排放监控浓度限值要求，即周界外颗粒物浓度最高点≤1.0mg/m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jc w:val="both"/>
              <w:rPr>
                <w:rFonts w:hint="default" w:ascii="Times New Roman" w:hAnsi="Times New Roman" w:cs="Times New Roman"/>
                <w:color w:val="000000" w:themeColor="text1"/>
                <w:sz w:val="24"/>
                <w:u w:val="single"/>
                <w:lang w:val="en-US" w:eastAsia="zh-CN"/>
                <w14:textFill>
                  <w14:solidFill>
                    <w14:schemeClr w14:val="tx1"/>
                  </w14:solidFill>
                </w14:textFill>
              </w:rPr>
            </w:pPr>
            <w:r>
              <w:rPr>
                <w:rFonts w:hint="default" w:ascii="Times New Roman" w:hAnsi="Times New Roman" w:cs="Times New Roman"/>
                <w:color w:val="000000" w:themeColor="text1"/>
                <w:sz w:val="24"/>
                <w:u w:val="single"/>
                <w:lang w:val="en-US" w:eastAsia="zh-CN"/>
                <w14:textFill>
                  <w14:solidFill>
                    <w14:schemeClr w14:val="tx1"/>
                  </w14:solidFill>
                </w14:textFill>
              </w:rPr>
              <w:t>运营期：本项目运营期无生产废气产生，废气主要为升压站管理人员日常生活产生的食堂油烟，食堂油烟排放执行《饮食业油烟排放标准（试行）》（GB18483-2001）中小型规模排放限值要求，即净化设施油烟去除效率≥60%、油烟排放浓度≤2.0mg/m</w:t>
            </w:r>
            <w:r>
              <w:rPr>
                <w:rFonts w:hint="default" w:ascii="Times New Roman" w:hAnsi="Times New Roman" w:cs="Times New Roman"/>
                <w:color w:val="000000" w:themeColor="text1"/>
                <w:sz w:val="24"/>
                <w:u w:val="singl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u w:val="single"/>
                <w:lang w:val="en-US" w:eastAsia="zh-CN"/>
                <w14:textFill>
                  <w14:solidFill>
                    <w14:schemeClr w14:val="tx1"/>
                  </w14:solidFill>
                </w14:textFill>
              </w:rPr>
              <w:t>。</w:t>
            </w:r>
          </w:p>
          <w:p>
            <w:pPr>
              <w:keepNext w:val="0"/>
              <w:keepLines w:val="0"/>
              <w:numPr>
                <w:ilvl w:val="0"/>
                <w:numId w:val="0"/>
              </w:numPr>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lang w:val="en-US" w:eastAsia="zh-CN"/>
                <w14:textFill>
                  <w14:solidFill>
                    <w14:schemeClr w14:val="tx1"/>
                  </w14:solidFill>
                </w14:textFill>
              </w:rPr>
              <w:t>（2）</w:t>
            </w:r>
            <w:r>
              <w:rPr>
                <w:rFonts w:hint="default" w:ascii="Times New Roman" w:hAnsi="Times New Roman" w:cs="Times New Roman"/>
                <w:b/>
                <w:bCs/>
                <w:color w:val="000000" w:themeColor="text1"/>
                <w:kern w:val="0"/>
                <w:sz w:val="24"/>
                <w14:textFill>
                  <w14:solidFill>
                    <w14:schemeClr w14:val="tx1"/>
                  </w14:solidFill>
                </w14:textFill>
              </w:rPr>
              <w:t>废</w:t>
            </w:r>
            <w:r>
              <w:rPr>
                <w:rFonts w:hint="default" w:ascii="Times New Roman" w:hAnsi="Times New Roman" w:cs="Times New Roman"/>
                <w:b/>
                <w:bCs/>
                <w:color w:val="000000" w:themeColor="text1"/>
                <w:kern w:val="0"/>
                <w:sz w:val="24"/>
                <w:highlight w:val="none"/>
                <w14:textFill>
                  <w14:solidFill>
                    <w14:schemeClr w14:val="tx1"/>
                  </w14:solidFill>
                </w14:textFill>
              </w:rPr>
              <w:t>水</w:t>
            </w:r>
          </w:p>
          <w:p>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施工期：施工期产生的施工废水收集于临时沉淀池内，经沉淀后回用作场地降尘用水、施工工序用水，不外排；施工人员生活污水</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经化粪池</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处理后清掏做农肥，不外排。项目施工期无废水外排，故不设置项目施工期废水排放标准。</w:t>
            </w:r>
          </w:p>
          <w:p>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kern w:val="0"/>
                <w:sz w:val="24"/>
                <w:highlight w:val="none"/>
                <w:u w:val="single"/>
                <w:lang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14:textFill>
                  <w14:solidFill>
                    <w14:schemeClr w14:val="tx1"/>
                  </w14:solidFill>
                </w14:textFill>
              </w:rPr>
              <w:t>运营期</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single"/>
                <w14:textFill>
                  <w14:solidFill>
                    <w14:schemeClr w14:val="tx1"/>
                  </w14:solidFill>
                </w14:textFill>
              </w:rPr>
              <w:t>运营期间</w:t>
            </w:r>
            <w:r>
              <w:rPr>
                <w:rFonts w:hint="default" w:ascii="Times New Roman" w:hAnsi="Times New Roman" w:cs="Times New Roman"/>
                <w:color w:val="000000" w:themeColor="text1"/>
                <w:sz w:val="24"/>
                <w:szCs w:val="24"/>
                <w:u w:val="single"/>
                <w:lang w:eastAsia="zh-CN"/>
                <w14:textFill>
                  <w14:solidFill>
                    <w14:schemeClr w14:val="tx1"/>
                  </w14:solidFill>
                </w14:textFill>
              </w:rPr>
              <w:t>生活污水经一体化污水处理设施处理后用于站内绿化</w:t>
            </w:r>
            <w:r>
              <w:rPr>
                <w:rFonts w:hint="default" w:ascii="Times New Roman" w:hAnsi="Times New Roman" w:eastAsia="宋体" w:cs="Times New Roman"/>
                <w:color w:val="000000" w:themeColor="text1"/>
                <w:sz w:val="24"/>
                <w:szCs w:val="24"/>
                <w:u w:val="single"/>
                <w14:textFill>
                  <w14:solidFill>
                    <w14:schemeClr w14:val="tx1"/>
                  </w14:solidFill>
                </w14:textFill>
              </w:rPr>
              <w:t>不外排</w:t>
            </w:r>
            <w:r>
              <w:rPr>
                <w:rFonts w:hint="default" w:ascii="Times New Roman" w:hAnsi="Times New Roman" w:eastAsia="宋体" w:cs="Times New Roman"/>
                <w:color w:val="000000" w:themeColor="text1"/>
                <w:kern w:val="0"/>
                <w:sz w:val="24"/>
                <w:highlight w:val="none"/>
                <w:u w:val="single"/>
                <w:lang w:eastAsia="zh-CN"/>
                <w14:textFill>
                  <w14:solidFill>
                    <w14:schemeClr w14:val="tx1"/>
                  </w14:solidFill>
                </w14:textFill>
              </w:rPr>
              <w:t>，故不设置项目</w:t>
            </w:r>
            <w:r>
              <w:rPr>
                <w:rFonts w:hint="default" w:ascii="Times New Roman" w:hAnsi="Times New Roman" w:eastAsia="宋体" w:cs="Times New Roman"/>
                <w:color w:val="000000" w:themeColor="text1"/>
                <w:kern w:val="0"/>
                <w:sz w:val="24"/>
                <w:highlight w:val="none"/>
                <w:u w:val="single"/>
                <w:lang w:val="en-US" w:eastAsia="zh-CN"/>
                <w14:textFill>
                  <w14:solidFill>
                    <w14:schemeClr w14:val="tx1"/>
                  </w14:solidFill>
                </w14:textFill>
              </w:rPr>
              <w:t>运营</w:t>
            </w:r>
            <w:r>
              <w:rPr>
                <w:rFonts w:hint="default" w:ascii="Times New Roman" w:hAnsi="Times New Roman" w:eastAsia="宋体" w:cs="Times New Roman"/>
                <w:color w:val="000000" w:themeColor="text1"/>
                <w:kern w:val="0"/>
                <w:sz w:val="24"/>
                <w:highlight w:val="none"/>
                <w:u w:val="single"/>
                <w:lang w:eastAsia="zh-CN"/>
                <w14:textFill>
                  <w14:solidFill>
                    <w14:schemeClr w14:val="tx1"/>
                  </w14:solidFill>
                </w14:textFill>
              </w:rPr>
              <w:t>期废水排放标准。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4"/>
                <w:highlight w:val="none"/>
                <w:lang w:eastAsia="zh-CN"/>
                <w14:textFill>
                  <w14:solidFill>
                    <w14:schemeClr w14:val="tx1"/>
                  </w14:solidFill>
                </w14:textFill>
              </w:rPr>
              <w:t>）</w:t>
            </w:r>
            <w:r>
              <w:rPr>
                <w:rFonts w:hint="default" w:ascii="Times New Roman" w:hAnsi="Times New Roman" w:cs="Times New Roman"/>
                <w:b/>
                <w:bCs/>
                <w:color w:val="000000" w:themeColor="text1"/>
                <w:kern w:val="0"/>
                <w:sz w:val="24"/>
                <w14:textFill>
                  <w14:solidFill>
                    <w14:schemeClr w14:val="tx1"/>
                  </w14:solidFill>
                </w14:textFill>
              </w:rPr>
              <w:t>噪声</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施工期：</w:t>
            </w:r>
            <w:r>
              <w:rPr>
                <w:rFonts w:hint="default" w:ascii="Times New Roman" w:hAnsi="Times New Roman" w:cs="Times New Roman"/>
                <w:color w:val="000000" w:themeColor="text1"/>
                <w:kern w:val="0"/>
                <w:sz w:val="24"/>
                <w14:textFill>
                  <w14:solidFill>
                    <w14:schemeClr w14:val="tx1"/>
                  </w14:solidFill>
                </w14:textFill>
              </w:rPr>
              <w:t>项目施工期噪声排放执行《建筑施工场界环境噪声排放标准》（</w:t>
            </w:r>
            <w:r>
              <w:rPr>
                <w:rFonts w:hint="default" w:ascii="Times New Roman" w:hAnsi="Times New Roman" w:cs="Times New Roman"/>
                <w:bCs/>
                <w:color w:val="000000" w:themeColor="text1"/>
                <w:sz w:val="24"/>
                <w14:textFill>
                  <w14:solidFill>
                    <w14:schemeClr w14:val="tx1"/>
                  </w14:solidFill>
                </w14:textFill>
              </w:rPr>
              <w:t>GB12523-2011</w:t>
            </w:r>
            <w:r>
              <w:rPr>
                <w:rFonts w:hint="default" w:ascii="Times New Roman" w:hAnsi="Times New Roman" w:cs="Times New Roman"/>
                <w:color w:val="000000" w:themeColor="text1"/>
                <w:kern w:val="0"/>
                <w:sz w:val="24"/>
                <w14:textFill>
                  <w14:solidFill>
                    <w14:schemeClr w14:val="tx1"/>
                  </w14:solidFill>
                </w14:textFill>
              </w:rPr>
              <w:t>）：昼间≤</w:t>
            </w:r>
            <w:r>
              <w:rPr>
                <w:rFonts w:hint="default" w:ascii="Times New Roman" w:hAnsi="Times New Roman" w:cs="Times New Roman"/>
                <w:bCs/>
                <w:color w:val="000000" w:themeColor="text1"/>
                <w:sz w:val="24"/>
                <w14:textFill>
                  <w14:solidFill>
                    <w14:schemeClr w14:val="tx1"/>
                  </w14:solidFill>
                </w14:textFill>
              </w:rPr>
              <w:t>70</w:t>
            </w:r>
            <w:r>
              <w:rPr>
                <w:rFonts w:hint="default" w:ascii="Times New Roman" w:hAnsi="Times New Roman" w:cs="Times New Roman"/>
                <w:color w:val="000000" w:themeColor="text1"/>
                <w:kern w:val="0"/>
                <w:sz w:val="24"/>
                <w14:textFill>
                  <w14:solidFill>
                    <w14:schemeClr w14:val="tx1"/>
                  </w14:solidFill>
                </w14:textFill>
              </w:rPr>
              <w:t>dB(A)，夜间≤</w:t>
            </w:r>
            <w:r>
              <w:rPr>
                <w:rFonts w:hint="default" w:ascii="Times New Roman" w:hAnsi="Times New Roman" w:cs="Times New Roman"/>
                <w:bCs/>
                <w:color w:val="000000" w:themeColor="text1"/>
                <w:sz w:val="24"/>
                <w14:textFill>
                  <w14:solidFill>
                    <w14:schemeClr w14:val="tx1"/>
                  </w14:solidFill>
                </w14:textFill>
              </w:rPr>
              <w:t>55</w:t>
            </w:r>
            <w:r>
              <w:rPr>
                <w:rFonts w:hint="default" w:ascii="Times New Roman" w:hAnsi="Times New Roman" w:cs="Times New Roman"/>
                <w:color w:val="000000" w:themeColor="text1"/>
                <w:kern w:val="0"/>
                <w:sz w:val="24"/>
                <w14:textFill>
                  <w14:solidFill>
                    <w14:schemeClr w14:val="tx1"/>
                  </w14:solidFill>
                </w14:textFill>
              </w:rPr>
              <w:t>dB(A)。</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运营期：</w:t>
            </w:r>
            <w:r>
              <w:rPr>
                <w:rFonts w:hint="default" w:ascii="Times New Roman" w:hAnsi="Times New Roman" w:cs="Times New Roman"/>
                <w:color w:val="000000" w:themeColor="text1"/>
                <w:kern w:val="0"/>
                <w:sz w:val="24"/>
                <w14:textFill>
                  <w14:solidFill>
                    <w14:schemeClr w14:val="tx1"/>
                  </w14:solidFill>
                </w14:textFill>
              </w:rPr>
              <w:t>项目运营期噪声排放执行《工业企业厂界环境噪声排放标准》（</w:t>
            </w:r>
            <w:r>
              <w:rPr>
                <w:rFonts w:hint="default" w:ascii="Times New Roman" w:hAnsi="Times New Roman" w:cs="Times New Roman"/>
                <w:bCs/>
                <w:color w:val="000000" w:themeColor="text1"/>
                <w:sz w:val="24"/>
                <w14:textFill>
                  <w14:solidFill>
                    <w14:schemeClr w14:val="tx1"/>
                  </w14:solidFill>
                </w14:textFill>
              </w:rPr>
              <w:t>GB12348-2008</w:t>
            </w:r>
            <w:r>
              <w:rPr>
                <w:rFonts w:hint="default" w:ascii="Times New Roman" w:hAnsi="Times New Roman" w:cs="Times New Roman"/>
                <w:color w:val="000000" w:themeColor="text1"/>
                <w:kern w:val="0"/>
                <w:sz w:val="24"/>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kern w:val="0"/>
                <w:sz w:val="24"/>
                <w14:textFill>
                  <w14:solidFill>
                    <w14:schemeClr w14:val="tx1"/>
                  </w14:solidFill>
                </w14:textFill>
              </w:rPr>
              <w:t>类标准：昼间≤</w:t>
            </w:r>
            <w:r>
              <w:rPr>
                <w:rFonts w:hint="default" w:ascii="Times New Roman" w:hAnsi="Times New Roman" w:cs="Times New Roman"/>
                <w:bCs/>
                <w:color w:val="000000" w:themeColor="text1"/>
                <w:sz w:val="24"/>
                <w:lang w:val="en-US" w:eastAsia="zh-CN"/>
                <w14:textFill>
                  <w14:solidFill>
                    <w14:schemeClr w14:val="tx1"/>
                  </w14:solidFill>
                </w14:textFill>
              </w:rPr>
              <w:t>60</w:t>
            </w:r>
            <w:r>
              <w:rPr>
                <w:rFonts w:hint="default" w:ascii="Times New Roman" w:hAnsi="Times New Roman" w:cs="Times New Roman"/>
                <w:color w:val="000000" w:themeColor="text1"/>
                <w:kern w:val="0"/>
                <w:sz w:val="24"/>
                <w14:textFill>
                  <w14:solidFill>
                    <w14:schemeClr w14:val="tx1"/>
                  </w14:solidFill>
                </w14:textFill>
              </w:rPr>
              <w:t>dB（A）、夜间≤</w:t>
            </w:r>
            <w:r>
              <w:rPr>
                <w:rFonts w:hint="default" w:ascii="Times New Roman" w:hAnsi="Times New Roman" w:cs="Times New Roman"/>
                <w:bCs/>
                <w:color w:val="000000" w:themeColor="text1"/>
                <w:sz w:val="24"/>
                <w:lang w:val="en-US" w:eastAsia="zh-CN"/>
                <w14:textFill>
                  <w14:solidFill>
                    <w14:schemeClr w14:val="tx1"/>
                  </w14:solidFill>
                </w14:textFill>
              </w:rPr>
              <w:t>50</w:t>
            </w:r>
            <w:r>
              <w:rPr>
                <w:rFonts w:hint="default" w:ascii="Times New Roman" w:hAnsi="Times New Roman" w:cs="Times New Roman"/>
                <w:color w:val="000000" w:themeColor="text1"/>
                <w:kern w:val="0"/>
                <w:sz w:val="24"/>
                <w14:textFill>
                  <w14:solidFill>
                    <w14:schemeClr w14:val="tx1"/>
                  </w14:solidFill>
                </w14:textFill>
              </w:rPr>
              <w:t>dB（A）</w:t>
            </w:r>
            <w:r>
              <w:rPr>
                <w:rFonts w:hint="default" w:ascii="Times New Roman" w:hAnsi="Times New Roman" w:cs="Times New Roman"/>
                <w:color w:val="000000" w:themeColor="text1"/>
                <w:kern w:val="0"/>
                <w:sz w:val="24"/>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lang w:eastAsia="zh-CN"/>
                <w14:textFill>
                  <w14:solidFill>
                    <w14:schemeClr w14:val="tx1"/>
                  </w14:solidFill>
                </w14:textFill>
              </w:rPr>
              <w:t>（</w:t>
            </w:r>
            <w:r>
              <w:rPr>
                <w:rFonts w:hint="default" w:ascii="Times New Roman" w:hAnsi="Times New Roman" w:cs="Times New Roman"/>
                <w:b/>
                <w:bCs/>
                <w:color w:val="000000" w:themeColor="text1"/>
                <w:kern w:val="0"/>
                <w:sz w:val="24"/>
                <w:lang w:val="en-US" w:eastAsia="zh-CN"/>
                <w14:textFill>
                  <w14:solidFill>
                    <w14:schemeClr w14:val="tx1"/>
                  </w14:solidFill>
                </w14:textFill>
              </w:rPr>
              <w:t>4</w:t>
            </w:r>
            <w:r>
              <w:rPr>
                <w:rFonts w:hint="default" w:ascii="Times New Roman" w:hAnsi="Times New Roman" w:cs="Times New Roman"/>
                <w:b/>
                <w:bCs/>
                <w:color w:val="000000" w:themeColor="text1"/>
                <w:kern w:val="0"/>
                <w:sz w:val="24"/>
                <w:lang w:eastAsia="zh-CN"/>
                <w14:textFill>
                  <w14:solidFill>
                    <w14:schemeClr w14:val="tx1"/>
                  </w14:solidFill>
                </w14:textFill>
              </w:rPr>
              <w:t>）</w:t>
            </w:r>
            <w:r>
              <w:rPr>
                <w:rFonts w:hint="default" w:ascii="Times New Roman" w:hAnsi="Times New Roman" w:cs="Times New Roman"/>
                <w:b/>
                <w:bCs/>
                <w:color w:val="000000" w:themeColor="text1"/>
                <w:kern w:val="0"/>
                <w:sz w:val="24"/>
                <w14:textFill>
                  <w14:solidFill>
                    <w14:schemeClr w14:val="tx1"/>
                  </w14:solidFill>
                </w14:textFill>
              </w:rPr>
              <w:t>固体废物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一般工业固体废物的临时贮存和管理</w:t>
            </w:r>
            <w:r>
              <w:rPr>
                <w:rFonts w:hint="default" w:ascii="Times New Roman" w:hAnsi="Times New Roman" w:cs="Times New Roman"/>
                <w:color w:val="000000" w:themeColor="text1"/>
                <w:kern w:val="0"/>
                <w:sz w:val="24"/>
                <w:lang w:eastAsia="zh-CN"/>
                <w14:textFill>
                  <w14:solidFill>
                    <w14:schemeClr w14:val="tx1"/>
                  </w14:solidFill>
                </w14:textFill>
              </w:rPr>
              <w:t>参照</w:t>
            </w:r>
            <w:r>
              <w:rPr>
                <w:rFonts w:hint="default" w:ascii="Times New Roman" w:hAnsi="Times New Roman" w:cs="Times New Roman"/>
                <w:color w:val="000000" w:themeColor="text1"/>
                <w:kern w:val="0"/>
                <w:sz w:val="24"/>
                <w14:textFill>
                  <w14:solidFill>
                    <w14:schemeClr w14:val="tx1"/>
                  </w14:solidFill>
                </w14:textFill>
              </w:rPr>
              <w:t>执行《一般工业固体废物贮存和填埋污染控制标准》（</w:t>
            </w:r>
            <w:r>
              <w:rPr>
                <w:rFonts w:hint="default" w:ascii="Times New Roman" w:hAnsi="Times New Roman" w:cs="Times New Roman"/>
                <w:bCs/>
                <w:color w:val="000000" w:themeColor="text1"/>
                <w:sz w:val="24"/>
                <w14:textFill>
                  <w14:solidFill>
                    <w14:schemeClr w14:val="tx1"/>
                  </w14:solidFill>
                </w14:textFill>
              </w:rPr>
              <w:t>GB18599-2020）</w:t>
            </w:r>
            <w:r>
              <w:rPr>
                <w:rFonts w:hint="default" w:ascii="Times New Roman" w:hAnsi="Times New Roman" w:cs="Times New Roman"/>
                <w:color w:val="000000" w:themeColor="text1"/>
                <w:kern w:val="0"/>
                <w:sz w:val="24"/>
                <w14:textFill>
                  <w14:solidFill>
                    <w14:schemeClr w14:val="tx1"/>
                  </w14:solidFill>
                </w14:textFill>
              </w:rPr>
              <w:t>中的相关规定。危险废物执行《危险废物贮存污染控制标准》（</w:t>
            </w:r>
            <w:r>
              <w:rPr>
                <w:rFonts w:hint="default" w:ascii="Times New Roman" w:hAnsi="Times New Roman" w:cs="Times New Roman"/>
                <w:bCs/>
                <w:color w:val="000000" w:themeColor="text1"/>
                <w:sz w:val="24"/>
                <w14:textFill>
                  <w14:solidFill>
                    <w14:schemeClr w14:val="tx1"/>
                  </w14:solidFill>
                </w14:textFill>
              </w:rPr>
              <w:t>GB18597-20</w:t>
            </w:r>
            <w:r>
              <w:rPr>
                <w:rFonts w:hint="default" w:ascii="Times New Roman" w:hAnsi="Times New Roman" w:cs="Times New Roman"/>
                <w:bCs/>
                <w:color w:val="000000" w:themeColor="text1"/>
                <w:sz w:val="24"/>
                <w:lang w:val="en-US" w:eastAsia="zh-CN"/>
                <w14:textFill>
                  <w14:solidFill>
                    <w14:schemeClr w14:val="tx1"/>
                  </w14:solidFill>
                </w14:textFill>
              </w:rPr>
              <w:t>23</w:t>
            </w:r>
            <w:r>
              <w:rPr>
                <w:rFonts w:hint="default" w:ascii="Times New Roman" w:hAnsi="Times New Roman" w:cs="Times New Roman"/>
                <w:color w:val="000000" w:themeColor="text1"/>
                <w:kern w:val="0"/>
                <w:sz w:val="24"/>
                <w14:textFill>
                  <w14:solidFill>
                    <w14:schemeClr w14:val="tx1"/>
                  </w14:solidFill>
                </w14:textFill>
              </w:rPr>
              <w:t>）；生活垃圾执行《生活垃圾填埋污染控制标准》（GB16889-2008）。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9" w:hRule="atLeast"/>
          <w:jc w:val="center"/>
        </w:trPr>
        <w:tc>
          <w:tcPr>
            <w:tcW w:w="4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其他</w:t>
            </w:r>
          </w:p>
        </w:tc>
        <w:tc>
          <w:tcPr>
            <w:tcW w:w="8277" w:type="dxa"/>
            <w:noWrap w:val="0"/>
            <w:vAlign w:val="center"/>
          </w:tcPr>
          <w:p>
            <w:pPr>
              <w:keepNext w:val="0"/>
              <w:keepLines w:val="0"/>
              <w:numPr>
                <w:ilvl w:val="0"/>
                <w:numId w:val="0"/>
              </w:numPr>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kern w:val="0"/>
                <w:sz w:val="24"/>
                <w:u w:val="singl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u w:val="single"/>
                <w:lang w:val="en-US" w:eastAsia="zh-CN"/>
                <w14:textFill>
                  <w14:solidFill>
                    <w14:schemeClr w14:val="tx1"/>
                  </w14:solidFill>
                </w14:textFill>
              </w:rPr>
              <w:t>1、评价工作等级、范围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u w:val="single"/>
                <w14:textFill>
                  <w14:solidFill>
                    <w14:schemeClr w14:val="tx1"/>
                  </w14:solidFill>
                </w14:textFill>
              </w:rPr>
            </w:pPr>
            <w:r>
              <w:rPr>
                <w:rFonts w:hint="default" w:ascii="Times New Roman" w:hAnsi="Times New Roman" w:eastAsia="宋体" w:cs="Times New Roman"/>
                <w:color w:val="000000" w:themeColor="text1"/>
                <w:sz w:val="24"/>
                <w:szCs w:val="24"/>
                <w:u w:val="single"/>
                <w14:textFill>
                  <w14:solidFill>
                    <w14:schemeClr w14:val="tx1"/>
                  </w14:solidFill>
                </w14:textFill>
              </w:rPr>
              <w:t>本工程电磁环境、声环境、生态、地表水环境评价等级、范围见下表。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single"/>
                <w:lang w:eastAsia="zh-CN"/>
                <w14:textFill>
                  <w14:solidFill>
                    <w14:schemeClr w14:val="tx1"/>
                  </w14:solidFill>
                </w14:textFill>
              </w:rPr>
              <w:t>表3-</w:t>
            </w:r>
            <w:r>
              <w:rPr>
                <w:rFonts w:hint="eastAsia" w:cs="Times New Roman"/>
                <w:b/>
                <w:bCs/>
                <w:color w:val="000000" w:themeColor="text1"/>
                <w:sz w:val="21"/>
                <w:szCs w:val="21"/>
                <w:u w:val="single"/>
                <w:lang w:val="en-US" w:eastAsia="zh-CN"/>
                <w14:textFill>
                  <w14:solidFill>
                    <w14:schemeClr w14:val="tx1"/>
                  </w14:solidFill>
                </w14:textFill>
              </w:rPr>
              <w:t xml:space="preserve">8 </w:t>
            </w:r>
            <w:r>
              <w:rPr>
                <w:rFonts w:hint="default" w:ascii="Times New Roman" w:hAnsi="Times New Roman" w:eastAsia="宋体" w:cs="Times New Roman"/>
                <w:b/>
                <w:bCs/>
                <w:color w:val="000000" w:themeColor="text1"/>
                <w:sz w:val="21"/>
                <w:szCs w:val="21"/>
                <w:u w:val="single"/>
                <w:lang w:eastAsia="zh-CN"/>
                <w14:textFill>
                  <w14:solidFill>
                    <w14:schemeClr w14:val="tx1"/>
                  </w14:solidFill>
                </w14:textFill>
              </w:rPr>
              <w:t xml:space="preserve"> 本工程评价等级、评价范围一览表</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2581"/>
              <w:gridCol w:w="1201"/>
              <w:gridCol w:w="1230"/>
              <w:gridCol w:w="18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748"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b/>
                      <w:bCs/>
                      <w:color w:val="000000" w:themeColor="text1"/>
                      <w:sz w:val="21"/>
                      <w:szCs w:val="21"/>
                      <w:u w:val="single"/>
                      <w:lang w:eastAsia="zh-CN"/>
                      <w14:textFill>
                        <w14:solidFill>
                          <w14:schemeClr w14:val="tx1"/>
                        </w14:solidFill>
                      </w14:textFill>
                    </w:rPr>
                    <w:t>评价项目</w:t>
                  </w:r>
                </w:p>
              </w:tc>
              <w:tc>
                <w:tcPr>
                  <w:tcW w:w="1606" w:type="pct"/>
                  <w:noWrap w:val="0"/>
                  <w:vAlign w:val="center"/>
                </w:tcPr>
                <w:p>
                  <w:pPr>
                    <w:pStyle w:val="7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cs="Times New Roman"/>
                      <w:color w:val="000000" w:themeColor="text1"/>
                      <w:sz w:val="21"/>
                      <w:szCs w:val="21"/>
                      <w:u w:val="single"/>
                      <w:lang w:eastAsia="zh-CN"/>
                      <w14:textFill>
                        <w14:solidFill>
                          <w14:schemeClr w14:val="tx1"/>
                        </w14:solidFill>
                      </w14:textFill>
                    </w:rPr>
                    <w:t>判定条件</w:t>
                  </w:r>
                </w:p>
              </w:tc>
              <w:tc>
                <w:tcPr>
                  <w:tcW w:w="747" w:type="pct"/>
                  <w:noWrap w:val="0"/>
                  <w:vAlign w:val="center"/>
                </w:tcPr>
                <w:p>
                  <w:pPr>
                    <w:pStyle w:val="74"/>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000000" w:themeColor="text1"/>
                      <w:sz w:val="21"/>
                      <w:szCs w:val="21"/>
                      <w:u w:val="single"/>
                      <w:lang w:eastAsia="zh-CN"/>
                      <w14:textFill>
                        <w14:solidFill>
                          <w14:schemeClr w14:val="tx1"/>
                        </w14:solidFill>
                      </w14:textFill>
                    </w:rPr>
                  </w:pPr>
                  <w:r>
                    <w:rPr>
                      <w:rFonts w:hint="default" w:ascii="Times New Roman" w:hAnsi="Times New Roman" w:cs="Times New Roman"/>
                      <w:b/>
                      <w:bCs/>
                      <w:color w:val="000000" w:themeColor="text1"/>
                      <w:sz w:val="21"/>
                      <w:szCs w:val="21"/>
                      <w:u w:val="single"/>
                      <w:lang w:eastAsia="zh-CN"/>
                      <w14:textFill>
                        <w14:solidFill>
                          <w14:schemeClr w14:val="tx1"/>
                        </w14:solidFill>
                      </w14:textFill>
                    </w:rPr>
                    <w:t>评价等级</w:t>
                  </w:r>
                </w:p>
              </w:tc>
              <w:tc>
                <w:tcPr>
                  <w:tcW w:w="765" w:type="pct"/>
                  <w:noWrap w:val="0"/>
                  <w:vAlign w:val="center"/>
                </w:tcPr>
                <w:p>
                  <w:pPr>
                    <w:pStyle w:val="74"/>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000000" w:themeColor="text1"/>
                      <w:sz w:val="21"/>
                      <w:szCs w:val="21"/>
                      <w:u w:val="single"/>
                      <w:lang w:eastAsia="zh-CN"/>
                      <w14:textFill>
                        <w14:solidFill>
                          <w14:schemeClr w14:val="tx1"/>
                        </w14:solidFill>
                      </w14:textFill>
                    </w:rPr>
                  </w:pPr>
                  <w:r>
                    <w:rPr>
                      <w:rFonts w:hint="default" w:ascii="Times New Roman" w:hAnsi="Times New Roman" w:cs="Times New Roman"/>
                      <w:b/>
                      <w:bCs/>
                      <w:color w:val="000000" w:themeColor="text1"/>
                      <w:sz w:val="21"/>
                      <w:szCs w:val="21"/>
                      <w:u w:val="single"/>
                      <w:lang w:eastAsia="zh-CN"/>
                      <w14:textFill>
                        <w14:solidFill>
                          <w14:schemeClr w14:val="tx1"/>
                        </w14:solidFill>
                      </w14:textFill>
                    </w:rPr>
                    <w:t>评价范围</w:t>
                  </w:r>
                </w:p>
              </w:tc>
              <w:tc>
                <w:tcPr>
                  <w:tcW w:w="1131"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bCs/>
                      <w:color w:val="000000" w:themeColor="text1"/>
                      <w:sz w:val="21"/>
                      <w:szCs w:val="21"/>
                      <w:u w:val="single"/>
                      <w:lang w:eastAsia="zh-CN"/>
                      <w14:textFill>
                        <w14:solidFill>
                          <w14:schemeClr w14:val="tx1"/>
                        </w14:solidFill>
                      </w14:textFill>
                    </w:rPr>
                  </w:pPr>
                  <w:r>
                    <w:rPr>
                      <w:rFonts w:hint="default" w:ascii="Times New Roman" w:hAnsi="Times New Roman" w:cs="Times New Roman"/>
                      <w:b/>
                      <w:bCs/>
                      <w:color w:val="000000" w:themeColor="text1"/>
                      <w:sz w:val="21"/>
                      <w:szCs w:val="21"/>
                      <w:u w:val="single"/>
                      <w:lang w:eastAsia="zh-CN"/>
                      <w14:textFill>
                        <w14:solidFill>
                          <w14:schemeClr w14:val="tx1"/>
                        </w14:solidFill>
                      </w14:textFill>
                    </w:rPr>
                    <w:t>判定依据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48"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cs="Times New Roman"/>
                      <w:color w:val="000000" w:themeColor="text1"/>
                      <w:sz w:val="21"/>
                      <w:szCs w:val="21"/>
                      <w:u w:val="single"/>
                      <w:lang w:eastAsia="zh-CN"/>
                      <w14:textFill>
                        <w14:solidFill>
                          <w14:schemeClr w14:val="tx1"/>
                        </w14:solidFill>
                      </w14:textFill>
                    </w:rPr>
                    <w:t>电磁环境</w:t>
                  </w:r>
                </w:p>
              </w:tc>
              <w:tc>
                <w:tcPr>
                  <w:tcW w:w="1606"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eastAsia" w:eastAsia="宋体" w:cs="Times New Roman"/>
                      <w:color w:val="000000" w:themeColor="text1"/>
                      <w:sz w:val="21"/>
                      <w:szCs w:val="21"/>
                      <w:u w:val="single"/>
                      <w:lang w:val="en-US" w:eastAsia="zh-CN"/>
                      <w14:textFill>
                        <w14:solidFill>
                          <w14:schemeClr w14:val="tx1"/>
                        </w14:solidFill>
                      </w14:textFill>
                    </w:rPr>
                    <w:t>1</w:t>
                  </w:r>
                  <w:r>
                    <w:rPr>
                      <w:rFonts w:hint="default" w:ascii="Times New Roman" w:hAnsi="Times New Roman" w:eastAsia="TimesNewRomanPSMT" w:cs="Times New Roman"/>
                      <w:color w:val="000000" w:themeColor="text1"/>
                      <w:sz w:val="21"/>
                      <w:szCs w:val="21"/>
                      <w:u w:val="single"/>
                      <w14:textFill>
                        <w14:solidFill>
                          <w14:schemeClr w14:val="tx1"/>
                        </w14:solidFill>
                      </w14:textFill>
                    </w:rPr>
                    <w:t>10kV</w:t>
                  </w:r>
                  <w:r>
                    <w:rPr>
                      <w:rFonts w:hint="default" w:ascii="Times New Roman" w:hAnsi="Times New Roman" w:eastAsia="宋体" w:cs="Times New Roman"/>
                      <w:color w:val="000000" w:themeColor="text1"/>
                      <w:sz w:val="21"/>
                      <w:szCs w:val="21"/>
                      <w:u w:val="single"/>
                      <w14:textFill>
                        <w14:solidFill>
                          <w14:schemeClr w14:val="tx1"/>
                        </w14:solidFill>
                      </w14:textFill>
                    </w:rPr>
                    <w:t>户外</w:t>
                  </w: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式</w:t>
                  </w:r>
                </w:p>
              </w:tc>
              <w:tc>
                <w:tcPr>
                  <w:tcW w:w="747"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cs="Times New Roman"/>
                      <w:color w:val="000000" w:themeColor="text1"/>
                      <w:sz w:val="21"/>
                      <w:szCs w:val="21"/>
                      <w:u w:val="single"/>
                      <w:lang w:eastAsia="zh-CN"/>
                      <w14:textFill>
                        <w14:solidFill>
                          <w14:schemeClr w14:val="tx1"/>
                        </w14:solidFill>
                      </w14:textFill>
                    </w:rPr>
                    <w:t>二级</w:t>
                  </w:r>
                </w:p>
              </w:tc>
              <w:tc>
                <w:tcPr>
                  <w:tcW w:w="765"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站界外30m</w:t>
                  </w:r>
                </w:p>
              </w:tc>
              <w:tc>
                <w:tcPr>
                  <w:tcW w:w="1131"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《环境影响评价技术导则输变电》（HJ24-2020）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48"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cs="Times New Roman"/>
                      <w:color w:val="000000" w:themeColor="text1"/>
                      <w:sz w:val="21"/>
                      <w:szCs w:val="21"/>
                      <w:u w:val="single"/>
                      <w:lang w:eastAsia="zh-CN"/>
                      <w14:textFill>
                        <w14:solidFill>
                          <w14:schemeClr w14:val="tx1"/>
                        </w14:solidFill>
                      </w14:textFill>
                    </w:rPr>
                    <w:t>声环境</w:t>
                  </w:r>
                </w:p>
              </w:tc>
              <w:tc>
                <w:tcPr>
                  <w:tcW w:w="1606"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本工程所处的声环境功能区为《声环境质量标准》（GB3096-2008）中规定的2类，建设前后对环境敏感点噪声增量在5dB（A）以下，受影响的人群数量不会显著增加。</w:t>
                  </w:r>
                </w:p>
              </w:tc>
              <w:tc>
                <w:tcPr>
                  <w:tcW w:w="747"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cs="Times New Roman"/>
                      <w:color w:val="000000" w:themeColor="text1"/>
                      <w:sz w:val="21"/>
                      <w:szCs w:val="21"/>
                      <w:u w:val="single"/>
                      <w:lang w:eastAsia="zh-CN"/>
                      <w14:textFill>
                        <w14:solidFill>
                          <w14:schemeClr w14:val="tx1"/>
                        </w14:solidFill>
                      </w14:textFill>
                    </w:rPr>
                    <w:t>二级</w:t>
                  </w:r>
                </w:p>
              </w:tc>
              <w:tc>
                <w:tcPr>
                  <w:tcW w:w="765"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站界外50m</w:t>
                  </w:r>
                </w:p>
              </w:tc>
              <w:tc>
                <w:tcPr>
                  <w:tcW w:w="1131"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《环境影响评价技术导则声环境》（HJ 2.4-2021）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48"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地表水环境</w:t>
                  </w:r>
                </w:p>
              </w:tc>
              <w:tc>
                <w:tcPr>
                  <w:tcW w:w="1606"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运营期间生活污水经一体化污水处理设施处理后用于站内绿化不外排</w:t>
                  </w:r>
                </w:p>
              </w:tc>
              <w:tc>
                <w:tcPr>
                  <w:tcW w:w="747"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w:t>
                  </w:r>
                </w:p>
              </w:tc>
              <w:tc>
                <w:tcPr>
                  <w:tcW w:w="765"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w:t>
                  </w:r>
                </w:p>
              </w:tc>
              <w:tc>
                <w:tcPr>
                  <w:tcW w:w="1131"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《环境影响评价技术导则地表水环境》（HJ2.3-2018）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48"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生态环境</w:t>
                  </w:r>
                </w:p>
              </w:tc>
              <w:tc>
                <w:tcPr>
                  <w:tcW w:w="1606"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本工程评价范围内无生态敏感区，工程用地8000m</w:t>
                  </w:r>
                  <w:r>
                    <w:rPr>
                      <w:rFonts w:hint="default" w:ascii="Times New Roman" w:hAnsi="Times New Roman" w:eastAsia="宋体" w:cs="Times New Roman"/>
                      <w:color w:val="000000" w:themeColor="text1"/>
                      <w:kern w:val="2"/>
                      <w:sz w:val="21"/>
                      <w:szCs w:val="21"/>
                      <w:u w:val="single"/>
                      <w:vertAlign w:val="superscript"/>
                      <w:lang w:val="en-US" w:eastAsia="zh-CN" w:bidi="ar-SA"/>
                      <w14:textFill>
                        <w14:solidFill>
                          <w14:schemeClr w14:val="tx1"/>
                        </w14:solidFill>
                      </w14:textFill>
                    </w:rPr>
                    <w:t>2</w:t>
                  </w:r>
                </w:p>
              </w:tc>
              <w:tc>
                <w:tcPr>
                  <w:tcW w:w="747"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三级</w:t>
                  </w:r>
                </w:p>
              </w:tc>
              <w:tc>
                <w:tcPr>
                  <w:tcW w:w="765"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变电站围墙外500m评价范围</w:t>
                  </w:r>
                </w:p>
              </w:tc>
              <w:tc>
                <w:tcPr>
                  <w:tcW w:w="1131"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《环境影响评价技术导则生态影响》（HJ 19-2022）</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cs="Times New Roman"/>
                <w:b/>
                <w:bCs/>
                <w:color w:val="000000" w:themeColor="text1"/>
                <w:kern w:val="0"/>
                <w:sz w:val="24"/>
                <w:lang w:val="en-US" w:eastAsia="zh-CN"/>
                <w14:textFill>
                  <w14:solidFill>
                    <w14:schemeClr w14:val="tx1"/>
                  </w14:solidFill>
                </w14:textFill>
              </w:rPr>
              <w:t>2、总量控制指标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本项目营运期无工艺废气产生；生活污水经</w:t>
            </w:r>
            <w:r>
              <w:rPr>
                <w:rFonts w:hint="default" w:ascii="Times New Roman" w:hAnsi="Times New Roman" w:cs="Times New Roman"/>
                <w:color w:val="000000" w:themeColor="text1"/>
                <w:kern w:val="0"/>
                <w:sz w:val="24"/>
                <w:lang w:eastAsia="zh-CN"/>
                <w14:textFill>
                  <w14:solidFill>
                    <w14:schemeClr w14:val="tx1"/>
                  </w14:solidFill>
                </w14:textFill>
              </w:rPr>
              <w:t>一体化污水处理设备</w:t>
            </w:r>
            <w:r>
              <w:rPr>
                <w:rFonts w:hint="default" w:ascii="Times New Roman" w:hAnsi="Times New Roman" w:eastAsia="宋体" w:cs="Times New Roman"/>
                <w:color w:val="000000" w:themeColor="text1"/>
                <w:kern w:val="0"/>
                <w:sz w:val="24"/>
                <w14:textFill>
                  <w14:solidFill>
                    <w14:schemeClr w14:val="tx1"/>
                  </w14:solidFill>
                </w14:textFill>
              </w:rPr>
              <w:t>处理后回用于</w:t>
            </w:r>
            <w:r>
              <w:rPr>
                <w:rFonts w:hint="default" w:ascii="Times New Roman" w:hAnsi="Times New Roman" w:cs="Times New Roman"/>
                <w:color w:val="000000" w:themeColor="text1"/>
                <w:kern w:val="0"/>
                <w:sz w:val="24"/>
                <w:lang w:eastAsia="zh-CN"/>
                <w14:textFill>
                  <w14:solidFill>
                    <w14:schemeClr w14:val="tx1"/>
                  </w14:solidFill>
                </w14:textFill>
              </w:rPr>
              <w:t>站内绿化</w:t>
            </w:r>
            <w:r>
              <w:rPr>
                <w:rFonts w:hint="default" w:ascii="Times New Roman" w:hAnsi="Times New Roman" w:eastAsia="宋体" w:cs="Times New Roman"/>
                <w:color w:val="000000" w:themeColor="text1"/>
                <w:kern w:val="0"/>
                <w:sz w:val="24"/>
                <w14:textFill>
                  <w14:solidFill>
                    <w14:schemeClr w14:val="tx1"/>
                  </w14:solidFill>
                </w14:textFill>
              </w:rPr>
              <w:t>，不外排。故项目不需申请总量控制指标。</w:t>
            </w:r>
          </w:p>
        </w:tc>
      </w:tr>
    </w:tbl>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kern w:val="2"/>
          <w:sz w:val="36"/>
          <w:szCs w:val="36"/>
          <w14:textFill>
            <w14:solidFill>
              <w14:schemeClr w14:val="tx1"/>
            </w14:solidFill>
          </w14:textFill>
        </w:rPr>
        <w:br w:type="page"/>
      </w:r>
      <w:bookmarkStart w:id="15" w:name="_Toc27875"/>
      <w:r>
        <w:rPr>
          <w:rFonts w:hint="default" w:ascii="Times New Roman" w:hAnsi="Times New Roman" w:eastAsia="宋体" w:cs="Times New Roman"/>
          <w:b/>
          <w:bCs/>
          <w:snapToGrid w:val="0"/>
          <w:color w:val="000000" w:themeColor="text1"/>
          <w:sz w:val="30"/>
          <w:szCs w:val="30"/>
          <w14:textFill>
            <w14:solidFill>
              <w14:schemeClr w14:val="tx1"/>
            </w14:solidFill>
          </w14:textFill>
        </w:rPr>
        <w:t>四、生态环境影响分析</w:t>
      </w:r>
      <w:bookmarkEnd w:id="15"/>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9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464" w:type="dxa"/>
            <w:noWrap w:val="0"/>
            <w:tcMar>
              <w:left w:w="28" w:type="dxa"/>
              <w:right w:w="28" w:type="dxa"/>
            </w:tcMar>
            <w:vAlign w:val="center"/>
          </w:tcPr>
          <w:p>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4"/>
                <w:szCs w:val="24"/>
                <w14:textFill>
                  <w14:solidFill>
                    <w14:schemeClr w14:val="tx1"/>
                  </w14:solidFill>
                </w14:textFill>
              </w:rPr>
            </w:pPr>
            <w:bookmarkStart w:id="16" w:name="_Hlk49796138"/>
            <w:r>
              <w:rPr>
                <w:rFonts w:hint="default" w:ascii="Times New Roman" w:hAnsi="Times New Roman" w:eastAsia="宋体" w:cs="Times New Roman"/>
                <w:b w:val="0"/>
                <w:bCs/>
                <w:color w:val="000000" w:themeColor="text1"/>
                <w:spacing w:val="10"/>
                <w:kern w:val="2"/>
                <w:sz w:val="24"/>
                <w:szCs w:val="24"/>
                <w14:textFill>
                  <w14:solidFill>
                    <w14:schemeClr w14:val="tx1"/>
                  </w14:solidFill>
                </w14:textFill>
              </w:rPr>
              <w:t>施工期生态环境影响分析</w:t>
            </w:r>
            <w:bookmarkEnd w:id="16"/>
          </w:p>
        </w:tc>
        <w:tc>
          <w:tcPr>
            <w:tcW w:w="7978" w:type="dxa"/>
            <w:noWrap w:val="0"/>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360" w:firstLineChars="150"/>
              <w:textAlignment w:val="auto"/>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本工程施工期土建工程依托于光伏电站土建工程内容，施工期影响在《</w:t>
            </w:r>
            <w:r>
              <w:rPr>
                <w:rFonts w:hint="default" w:ascii="Times New Roman" w:hAnsi="Times New Roman" w:eastAsia="宋体" w:cs="Times New Roman"/>
                <w:color w:val="000000" w:themeColor="text1"/>
                <w:sz w:val="24"/>
                <w:szCs w:val="24"/>
                <w:u w:val="single"/>
                <w14:textFill>
                  <w14:solidFill>
                    <w14:schemeClr w14:val="tx1"/>
                  </w14:solidFill>
                </w14:textFill>
              </w:rPr>
              <w:t>邵阳县郦家坪光伏发电项目</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环境影响报告表》已做分析</w:t>
            </w:r>
            <w:r>
              <w:rPr>
                <w:rFonts w:hint="default" w:ascii="Times New Roman" w:hAnsi="Times New Roman" w:cs="Times New Roman"/>
                <w:b w:val="0"/>
                <w:bCs w:val="0"/>
                <w:color w:val="000000" w:themeColor="text1"/>
                <w:sz w:val="24"/>
                <w:szCs w:val="24"/>
                <w:u w:val="singl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因此施工期影响分析</w:t>
            </w:r>
            <w:r>
              <w:rPr>
                <w:rFonts w:hint="default" w:ascii="Times New Roman" w:hAnsi="Times New Roman" w:cs="Times New Roman"/>
                <w:b w:val="0"/>
                <w:bCs w:val="0"/>
                <w:color w:val="000000" w:themeColor="text1"/>
                <w:sz w:val="24"/>
                <w:szCs w:val="24"/>
                <w:u w:val="single"/>
                <w:lang w:val="en-US" w:eastAsia="zh-CN"/>
                <w14:textFill>
                  <w14:solidFill>
                    <w14:schemeClr w14:val="tx1"/>
                  </w14:solidFill>
                </w14:textFill>
              </w:rPr>
              <w:t>摘录</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u w:val="single"/>
                <w14:textFill>
                  <w14:solidFill>
                    <w14:schemeClr w14:val="tx1"/>
                  </w14:solidFill>
                </w14:textFill>
              </w:rPr>
              <w:t>邵阳县郦家坪光伏发电项目</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环境影响报告表》中相关内容。</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361" w:firstLineChars="15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1、生态环境影响分析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361" w:firstLineChars="15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（1）对土地利用的影响</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360" w:firstLineChars="15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项目用地</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类型</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为</w:t>
            </w:r>
            <w:r>
              <w:rPr>
                <w:rFonts w:hint="default" w:ascii="Times New Roman" w:hAnsi="Times New Roman" w:cs="Times New Roman"/>
                <w:color w:val="000000" w:themeColor="text1"/>
                <w:sz w:val="24"/>
                <w:highlight w:val="none"/>
                <w:lang w:eastAsia="zh-CN"/>
                <w14:textFill>
                  <w14:solidFill>
                    <w14:schemeClr w14:val="tx1"/>
                  </w14:solidFill>
                </w14:textFill>
              </w:rPr>
              <w:t>其他园地</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用地不涉及生态保护红线、基本农田、饮用水水源地保护区、公益林、风景名胜区等自然保护区。工程涉及区域内生态体系可分为灌草丛生态系统、荒地生态系统、人工林地生态系统、水域生态系统及居住交通系统，灌草丛生态系统的优势度较高，对维护工程区域生态环境质量起到一定作用，该区域生态系统基本维持动态平衡。升压站永久占地造成的土地利用类型改变，企业通过在占地种植草木，增加绿化面积进行补偿，减少对植被影响及破坏。</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（2）对植物、植被的影响</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施工期对植被影响主要表现为：挖方、弃土等使占地范围内的植被遭受砍伐、铲除、掩埋等一系列人为干扰破坏，使占地范围内的植被全部消失，造成调查区内各类植被面积减少，生物量及生态价值降低，植物资源损失，组成植被和群落的植物种群数量减少，生物多样性降低等。</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本项目用地性质为</w:t>
            </w:r>
            <w:r>
              <w:rPr>
                <w:rFonts w:hint="default" w:ascii="Times New Roman" w:hAnsi="Times New Roman" w:cs="Times New Roman"/>
                <w:color w:val="000000" w:themeColor="text1"/>
                <w:sz w:val="24"/>
                <w:highlight w:val="none"/>
                <w:lang w:eastAsia="zh-CN"/>
                <w14:textFill>
                  <w14:solidFill>
                    <w14:schemeClr w14:val="tx1"/>
                  </w14:solidFill>
                </w14:textFill>
              </w:rPr>
              <w:t>其他园地</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，工程占地区自然条件较差，植被主要为杂草、低矮灌木等，植被种类较为单一，植物资源较少，生产力较低，无国家和地方重点保护野生植物分布</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且施工结束后对施工占地进行绿化恢复，起到了一定的植被恢复作用。</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因此，项目建设</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对当地植物资源的数量及利用方式产生影响较小。</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（3）对动物的影响</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经调查，本区域内无大型野生动物，主要为野兔、鼠类、鸟类等常见的小型动物。施工期将会破坏该区域动物的生境，迫使动物迁徙至它处，这对动物的繁殖、栖息和觅食等产生干扰影响；工程占地使工程区内的动物的活动范围有所缩小，动物的种类和数量也有所减少</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。但</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区域不涉及野生动物集中分布区，不涉及国家级、省级保护动物及珍稀濒危野生动物栖息地。项目施工期加强施工人员动物保护意识教育、禁止捕猎动物等措施，不会造成当地动物物种灭绝或数量锐减，也不会造成生物多样性的明显降低，对项目区动物的影响不大。</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14:textFill>
                  <w14:solidFill>
                    <w14:schemeClr w14:val="tx1"/>
                  </w14:solidFill>
                </w14:textFill>
              </w:rPr>
              <w:t>水土流失的影响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TimesNewRomanPSMT" w:cs="Times New Roman"/>
                <w:color w:val="000000" w:themeColor="text1"/>
                <w:sz w:val="24"/>
                <w:szCs w:val="24"/>
                <w14:textFill>
                  <w14:solidFill>
                    <w14:schemeClr w14:val="tx1"/>
                  </w14:solidFill>
                </w14:textFill>
              </w:rPr>
              <w:t>本项目在建设过程中征用、占用土地，破坏原有地貌和植被。项目区裸露土地面积增加，土地耕作层和植被生长层被挖损、剥离或埋压，造成土地生产力短期内衰减或丧失，引起土壤加速侵蚀。建设单位</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在</w:t>
            </w:r>
            <w:r>
              <w:rPr>
                <w:rFonts w:hint="default" w:ascii="Times New Roman" w:hAnsi="Times New Roman" w:eastAsia="TimesNewRomanPSMT" w:cs="Times New Roman"/>
                <w:color w:val="000000" w:themeColor="text1"/>
                <w:sz w:val="24"/>
                <w:szCs w:val="24"/>
                <w14:textFill>
                  <w14:solidFill>
                    <w14:schemeClr w14:val="tx1"/>
                  </w14:solidFill>
                </w14:textFill>
              </w:rPr>
              <w:t>认真落实《水土保持方案》提出的各项水土保持措施和生态保护措施，项目的建设不会加重该区域的水土流失现状，对生态环境影响小</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numPr>
                <w:ilvl w:val="0"/>
                <w:numId w:val="0"/>
              </w:numPr>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14:textFill>
                  <w14:solidFill>
                    <w14:schemeClr w14:val="tx1"/>
                  </w14:solidFill>
                </w14:textFill>
              </w:rPr>
              <w:t>大气环境影响分析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项目混凝土全部采用商品混凝土，</w:t>
            </w:r>
            <w:r>
              <w:rPr>
                <w:rFonts w:hint="default" w:ascii="Times New Roman" w:hAnsi="Times New Roman" w:cs="Times New Roman"/>
                <w:color w:val="000000" w:themeColor="text1"/>
                <w:sz w:val="24"/>
                <w:szCs w:val="24"/>
                <w:u w:val="none"/>
                <w:lang w:eastAsia="zh-CN"/>
                <w14:textFill>
                  <w14:solidFill>
                    <w14:schemeClr w14:val="tx1"/>
                  </w14:solidFill>
                </w14:textFill>
              </w:rPr>
              <w:t>施工现场</w:t>
            </w:r>
            <w:r>
              <w:rPr>
                <w:rFonts w:hint="default" w:ascii="Times New Roman" w:hAnsi="Times New Roman" w:eastAsia="宋体" w:cs="Times New Roman"/>
                <w:color w:val="000000" w:themeColor="text1"/>
                <w:sz w:val="24"/>
                <w:szCs w:val="24"/>
                <w:u w:val="none"/>
                <w14:textFill>
                  <w14:solidFill>
                    <w14:schemeClr w14:val="tx1"/>
                  </w14:solidFill>
                </w14:textFill>
              </w:rPr>
              <w:t>不设置混凝土拌合系统</w:t>
            </w:r>
            <w:r>
              <w:rPr>
                <w:rFonts w:hint="default" w:ascii="Times New Roman" w:hAnsi="Times New Roman" w:cs="Times New Roman"/>
                <w:color w:val="000000" w:themeColor="text1"/>
                <w:sz w:val="24"/>
                <w:szCs w:val="24"/>
                <w:u w:val="none"/>
                <w:lang w:eastAsia="zh-CN"/>
                <w14:textFill>
                  <w14:solidFill>
                    <w14:schemeClr w14:val="tx1"/>
                  </w14:solidFill>
                </w14:textFill>
              </w:rPr>
              <w:t>，无拌合粉尘产生</w:t>
            </w:r>
            <w:r>
              <w:rPr>
                <w:rFonts w:hint="default" w:ascii="Times New Roman" w:hAnsi="Times New Roman" w:eastAsia="宋体" w:cs="Times New Roman"/>
                <w:color w:val="000000" w:themeColor="text1"/>
                <w:sz w:val="24"/>
                <w:szCs w:val="24"/>
                <w:u w:val="none"/>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施工期产生的大气污染物主要来自于挖土、运土、填土、夯实产生的施工扬尘和汽车运输过程产生的扬尘、施工机械、运输车辆产生的车辆尾气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和焊接烟尘</w:t>
            </w:r>
            <w:r>
              <w:rPr>
                <w:rFonts w:hint="default" w:ascii="Times New Roman" w:hAnsi="Times New Roman" w:eastAsia="宋体" w:cs="Times New Roman"/>
                <w:color w:val="000000" w:themeColor="text1"/>
                <w:sz w:val="24"/>
                <w:szCs w:val="24"/>
                <w14:textFill>
                  <w14:solidFill>
                    <w14:schemeClr w14:val="tx1"/>
                  </w14:solidFill>
                </w14:textFill>
              </w:rPr>
              <w:t>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施工扬尘</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施工现场近地面的粉尘量受施工机械、施工方式、管理方式及天气、地表土质等多种因素影响。升压站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距周边</w:t>
            </w:r>
            <w:r>
              <w:rPr>
                <w:rFonts w:hint="default" w:ascii="Times New Roman" w:hAnsi="Times New Roman" w:eastAsia="宋体" w:cs="Times New Roman"/>
                <w:color w:val="000000" w:themeColor="text1"/>
                <w:sz w:val="24"/>
                <w:szCs w:val="24"/>
                <w14:textFill>
                  <w14:solidFill>
                    <w14:schemeClr w14:val="tx1"/>
                  </w14:solidFill>
                </w14:textFill>
              </w:rPr>
              <w:t>敏感目标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较远</w:t>
            </w:r>
            <w:r>
              <w:rPr>
                <w:rFonts w:hint="default" w:ascii="Times New Roman" w:hAnsi="Times New Roman" w:eastAsia="宋体" w:cs="Times New Roman"/>
                <w:color w:val="000000" w:themeColor="text1"/>
                <w:sz w:val="24"/>
                <w:szCs w:val="24"/>
                <w14:textFill>
                  <w14:solidFill>
                    <w14:schemeClr w14:val="tx1"/>
                  </w14:solidFill>
                </w14:textFill>
              </w:rPr>
              <w:t>，在对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升压站施工区</w:t>
            </w:r>
            <w:r>
              <w:rPr>
                <w:rFonts w:hint="default" w:ascii="Times New Roman" w:hAnsi="Times New Roman" w:eastAsia="宋体" w:cs="Times New Roman"/>
                <w:color w:val="000000" w:themeColor="text1"/>
                <w:sz w:val="24"/>
                <w:szCs w:val="24"/>
                <w14:textFill>
                  <w14:solidFill>
                    <w14:schemeClr w14:val="tx1"/>
                  </w14:solidFill>
                </w14:textFill>
              </w:rPr>
              <w:t>采取洒水降尘、围挡作业等措施后，可有效减少扬尘产生，且施工作业扬尘产生仅在施工作业时产生，施工作业结束后施工作业扬尘随之消失</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因此项目施工作业扬尘对周围环境空气影响较小。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物料运输扬尘</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进出施工场地的运输车辆也会造成施工作业场所近地面粉尘浓度升高，运输扬尘的产生量与车型、车速、车流量、风速、道路表面积尘量、尘土湿度等因素有关。项目施工期在施工场地出入口处设置洗车沉淀池，对进出施工场地车辆轮胎进行冲洗，保持车辆轮胎清洁，在很大程度上能减少运输扬尘的产生，且物料运输扬尘产生仅在施工期产生，施工结束后随之消失，物料运输扬尘只是暂时的。因此，项目物料运输扬尘对周围环境空气影响较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施工机械废气</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施工车辆由于燃油时会产生THC、NO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X</w:t>
            </w:r>
            <w:r>
              <w:rPr>
                <w:rFonts w:hint="default" w:ascii="Times New Roman" w:hAnsi="Times New Roman" w:eastAsia="宋体" w:cs="Times New Roman"/>
                <w:color w:val="000000" w:themeColor="text1"/>
                <w:sz w:val="24"/>
                <w:szCs w:val="24"/>
                <w14:textFill>
                  <w14:solidFill>
                    <w14:schemeClr w14:val="tx1"/>
                  </w14:solidFill>
                </w14:textFill>
              </w:rPr>
              <w:t>、CO和颗粒物等大气污染物，但这些污染物排放量很小，且为间断排放。尾气中所含的有害物质主要有THC、CO、NOx等，影响范围多集中在车辆10～15m范围内。施工单位必须使用污染物排放符合国家标准的运输车辆，加强车辆的维护保养并保持汽车的外身清洁，使车辆处于良好的工作状态，减轻燃油废气对周边环境及居民的影响。</w:t>
            </w:r>
          </w:p>
          <w:p>
            <w:pPr>
              <w:keepNext w:val="0"/>
              <w:keepLines w:val="0"/>
              <w:numPr>
                <w:ilvl w:val="0"/>
                <w:numId w:val="0"/>
              </w:numPr>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3、地表水</w:t>
            </w:r>
            <w:r>
              <w:rPr>
                <w:rFonts w:hint="default" w:ascii="Times New Roman" w:hAnsi="Times New Roman" w:eastAsia="宋体" w:cs="Times New Roman"/>
                <w:b/>
                <w:bCs/>
                <w:color w:val="000000" w:themeColor="text1"/>
                <w:sz w:val="24"/>
                <w:szCs w:val="24"/>
                <w14:textFill>
                  <w14:solidFill>
                    <w14:schemeClr w14:val="tx1"/>
                  </w14:solidFill>
                </w14:textFill>
              </w:rPr>
              <w:t>环境影响分析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本项目施工期产生的废水为施工废水、冲洗废水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和</w:t>
            </w:r>
            <w:r>
              <w:rPr>
                <w:rFonts w:hint="default" w:ascii="Times New Roman" w:hAnsi="Times New Roman" w:eastAsia="宋体" w:cs="Times New Roman"/>
                <w:color w:val="000000" w:themeColor="text1"/>
                <w:sz w:val="24"/>
                <w:szCs w:val="24"/>
                <w14:textFill>
                  <w14:solidFill>
                    <w14:schemeClr w14:val="tx1"/>
                  </w14:solidFill>
                </w14:textFill>
              </w:rPr>
              <w:t>施工人员生活污水。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（1）施工废水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施工废水主要来源于地基开挖等施工过程。施工废水中污染物主要为SS，浓度在200~2000mg/L。项目根据施工片区设置临时沉淀池，施工废水收集于临时沉淀池内，经沉淀处理后，回用作施工或场地洒水降尘，不外排，对地表水环境不造成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TimesNewRomanPSMT" w:cs="Times New Roman"/>
                <w:color w:val="000000" w:themeColor="text1"/>
                <w:sz w:val="24"/>
                <w:szCs w:val="24"/>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）冲洗废水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项目施工期冲洗废水主要来源于施工机械冲洗废水及进出施工场地运输车辆轮胎进行冲洗。冲洗废水中主要污染物为SS 及石油类，施工机械冲洗废水排入施工片区临时沉淀池内，经沉淀处理后，回用作施工或场地洒水降尘，不外排，对地表水环境不造成影响；车辆轮胎冲洗废水排入施工场地出入口处洗车沉淀池，经沉淀处理后，回用作车辆轮胎冲洗用水或场地洒水降尘，不外排，对地表水环境不造成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施工人员生活污水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本项目施工期共</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 xml:space="preserve"> 个月，平均每天施工人数约</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 xml:space="preserve"> 人，根据《湖南省地方标准-用水定额》（DB43/T388-2020），施工人员生活用水量按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45</w:t>
            </w:r>
            <w:r>
              <w:rPr>
                <w:rFonts w:hint="default" w:ascii="Times New Roman" w:hAnsi="Times New Roman" w:eastAsia="宋体" w:cs="Times New Roman"/>
                <w:color w:val="000000" w:themeColor="text1"/>
                <w:sz w:val="24"/>
                <w:szCs w:val="24"/>
                <w14:textFill>
                  <w14:solidFill>
                    <w14:schemeClr w14:val="tx1"/>
                  </w14:solidFill>
                </w14:textFill>
              </w:rPr>
              <w:t>L/（人·d），则项目施工期施工人员生活用水量为</w:t>
            </w:r>
            <w:r>
              <w:rPr>
                <w:rFonts w:hint="default" w:ascii="Times New Roman" w:hAnsi="Times New Roman" w:cs="Times New Roman"/>
                <w:color w:val="000000" w:themeColor="text1"/>
                <w:sz w:val="24"/>
                <w:szCs w:val="24"/>
                <w:lang w:val="en-US" w:eastAsia="zh-CN"/>
                <w14:textFill>
                  <w14:solidFill>
                    <w14:schemeClr w14:val="tx1"/>
                  </w14:solidFill>
                </w14:textFill>
              </w:rPr>
              <w:t>0.9</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/d，产污系数按0.8 计，则施工期施工人员生活污水产生量为</w:t>
            </w:r>
            <w:r>
              <w:rPr>
                <w:rFonts w:hint="default" w:ascii="Times New Roman" w:hAnsi="Times New Roman" w:cs="Times New Roman"/>
                <w:color w:val="000000" w:themeColor="text1"/>
                <w:sz w:val="24"/>
                <w:szCs w:val="24"/>
                <w:lang w:val="en-US" w:eastAsia="zh-CN"/>
                <w14:textFill>
                  <w14:solidFill>
                    <w14:schemeClr w14:val="tx1"/>
                  </w14:solidFill>
                </w14:textFill>
              </w:rPr>
              <w:t>0.72</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cs="Times New Roman"/>
                <w:color w:val="000000" w:themeColor="text1"/>
                <w:sz w:val="24"/>
                <w:szCs w:val="24"/>
                <w:lang w:val="en-US" w:eastAsia="zh-CN"/>
                <w14:textFill>
                  <w14:solidFill>
                    <w14:schemeClr w14:val="tx1"/>
                  </w14:solidFill>
                </w14:textFill>
              </w:rPr>
              <w:t>施工人员生活污水通过临时化粪池处理后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定期清掏</w:t>
            </w:r>
            <w:r>
              <w:rPr>
                <w:rFonts w:hint="default" w:ascii="Times New Roman" w:hAnsi="Times New Roman" w:eastAsia="宋体" w:cs="Times New Roman"/>
                <w:color w:val="000000" w:themeColor="text1"/>
                <w:sz w:val="24"/>
                <w:szCs w:val="24"/>
                <w14:textFill>
                  <w14:solidFill>
                    <w14:schemeClr w14:val="tx1"/>
                  </w14:solidFill>
                </w14:textFill>
              </w:rPr>
              <w:t>用作</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农肥</w:t>
            </w:r>
            <w:r>
              <w:rPr>
                <w:rFonts w:hint="default" w:ascii="Times New Roman" w:hAnsi="Times New Roman" w:eastAsia="宋体" w:cs="Times New Roman"/>
                <w:color w:val="000000" w:themeColor="text1"/>
                <w:sz w:val="24"/>
                <w:szCs w:val="24"/>
                <w14:textFill>
                  <w14:solidFill>
                    <w14:schemeClr w14:val="tx1"/>
                  </w14:solidFill>
                </w14:textFill>
              </w:rPr>
              <w:t>不外排</w:t>
            </w:r>
            <w:r>
              <w:rPr>
                <w:rFonts w:hint="default" w:ascii="Times New Roman" w:hAnsi="Times New Roman" w:cs="Times New Roman"/>
                <w:color w:val="000000" w:themeColor="text1"/>
                <w:sz w:val="24"/>
                <w:szCs w:val="24"/>
                <w:lang w:val="en-US"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14:textFill>
                  <w14:solidFill>
                    <w14:schemeClr w14:val="tx1"/>
                  </w14:solidFill>
                </w14:textFill>
              </w:rPr>
              <w:t>声环境影响分析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施工噪声</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施工期噪声主要为施工机械设备运转时产生的机械噪声及施工材料运输车辆产生的交通噪声，前者为连续性噪声，后者为间歇性噪声。项目施工期施工机械主要有挖掘机、装载机、推土机、吊车、振捣器及发电机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eastAsia" w:cs="Times New Roman"/>
                <w:color w:val="000000" w:themeColor="text1"/>
                <w:sz w:val="24"/>
                <w:szCs w:val="24"/>
                <w:lang w:val="en-US" w:eastAsia="zh-CN"/>
                <w14:textFill>
                  <w14:solidFill>
                    <w14:schemeClr w14:val="tx1"/>
                  </w14:solidFill>
                </w14:textFill>
              </w:rPr>
              <w:t>周边最近的敏感点距离项目约100m，环评要求项目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合理安排施工场地，将高噪声设备尽量远离居民点；合理规划施工时间、施工时序，禁止夜间施工</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选用低噪声、低振动设备，采用低噪声、低振动施工工艺</w:t>
            </w:r>
            <w:r>
              <w:rPr>
                <w:rFonts w:hint="eastAsia" w:cs="Times New Roman"/>
                <w:color w:val="000000" w:themeColor="text1"/>
                <w:sz w:val="24"/>
                <w:szCs w:val="24"/>
                <w:lang w:val="en-US" w:eastAsia="zh-CN"/>
                <w14:textFill>
                  <w14:solidFill>
                    <w14:schemeClr w14:val="tx1"/>
                  </w14:solidFill>
                </w14:textFill>
              </w:rPr>
              <w:t>等，通过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采取上述措施</w:t>
            </w:r>
            <w:r>
              <w:rPr>
                <w:rFonts w:hint="eastAsia" w:cs="Times New Roman"/>
                <w:color w:val="000000" w:themeColor="text1"/>
                <w:kern w:val="0"/>
                <w:sz w:val="24"/>
                <w:szCs w:val="24"/>
                <w:lang w:val="en-US" w:eastAsia="zh-CN" w:bidi="ar"/>
                <w14:textFill>
                  <w14:solidFill>
                    <w14:schemeClr w14:val="tx1"/>
                  </w14:solidFill>
                </w14:textFill>
              </w:rPr>
              <w:t>机距离衰减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后，可大大降低施工噪声对敏感点的影响，且施工期结束后相应的噪声污染即随之消失，不会对周围环境产生长期不良影响。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（2）交通噪声</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项目施工期交通噪声主要来源于物料运输车辆行驶过程中产生的交通噪声，交通噪声为间歇性噪声，不同类型的运输车辆产生的交通噪声不同，与车辆重量及行驶速度呈正相关，交通噪声源强在70~90dB（A）之间。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单位在合理规划物料运输路线及运输时间，并对运输车辆作出经过声环境敏感点时减速慢行、禁止鸣笛等要求后，项目施工期运输车辆产生的交通噪声对周围环境影响较小，且项目交通噪声影响是暂时的，随着施工结束这些影响也将消失，不会对周围环境及声环境敏感点产生较大的影响。</w:t>
            </w:r>
          </w:p>
          <w:p>
            <w:pPr>
              <w:keepNext w:val="0"/>
              <w:keepLines w:val="0"/>
              <w:suppressLineNumbers w:val="0"/>
              <w:adjustRightInd w:val="0"/>
              <w:snapToGrid w:val="0"/>
              <w:spacing w:before="0" w:beforeAutospacing="0" w:after="0" w:afterAutospacing="0" w:line="360" w:lineRule="auto"/>
              <w:ind w:left="420" w:leftChars="200" w:right="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14:textFill>
                  <w14:solidFill>
                    <w14:schemeClr w14:val="tx1"/>
                  </w14:solidFill>
                </w14:textFill>
              </w:rPr>
              <w:t>固体废物影响分析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本项目施工期产生的主要固体废物主要为废土石方、废建筑材料及生活垃圾。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（1）废土石方</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升压站产生的多余</w:t>
            </w:r>
            <w:r>
              <w:rPr>
                <w:rFonts w:hint="default" w:ascii="Times New Roman" w:hAnsi="Times New Roman" w:eastAsia="宋体" w:cs="Times New Roman"/>
                <w:color w:val="000000" w:themeColor="text1"/>
                <w:sz w:val="24"/>
                <w:szCs w:val="24"/>
                <w14:textFill>
                  <w14:solidFill>
                    <w14:schemeClr w14:val="tx1"/>
                  </w14:solidFill>
                </w14:textFill>
              </w:rPr>
              <w:t>土石方</w:t>
            </w:r>
            <w:r>
              <w:rPr>
                <w:rFonts w:hint="default" w:ascii="Times New Roman" w:hAnsi="Times New Roman" w:cs="Times New Roman"/>
                <w:color w:val="000000" w:themeColor="text1"/>
                <w:sz w:val="24"/>
                <w:szCs w:val="24"/>
                <w:lang w:val="en-US" w:eastAsia="zh-CN"/>
                <w14:textFill>
                  <w14:solidFill>
                    <w14:schemeClr w14:val="tx1"/>
                  </w14:solidFill>
                </w14:textFill>
              </w:rPr>
              <w:t>用于光伏场区回填</w:t>
            </w:r>
            <w:r>
              <w:rPr>
                <w:rFonts w:hint="default" w:ascii="Times New Roman" w:hAnsi="Times New Roman" w:eastAsia="宋体" w:cs="Times New Roman"/>
                <w:color w:val="000000" w:themeColor="text1"/>
                <w:sz w:val="24"/>
                <w:szCs w:val="24"/>
                <w14:textFill>
                  <w14:solidFill>
                    <w14:schemeClr w14:val="tx1"/>
                  </w14:solidFill>
                </w14:textFill>
              </w:rPr>
              <w:t>，不产生永久弃渣，故不设弃渣场。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TimesNewRomanPSMT" w:cs="Times New Roman"/>
                <w:color w:val="000000" w:themeColor="text1"/>
                <w:sz w:val="24"/>
                <w:szCs w:val="24"/>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）建筑垃圾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筑垃圾包括废弃砖石、水泥凝结废渣、废弃铁质及木质建材等，项目应对其进行分类集中堆存，能回收利用的回收利用，不能回收利用的建筑垃圾，加强管理，及时收集统一清运，禁止与生活垃圾混合处置，禁止随意丢弃。</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（3）生活垃圾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本项目施工期共</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 xml:space="preserve"> 个月，平均每天施工人数约</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 xml:space="preserve"> 人，施工人员生活垃圾产生量按0.5kg/（人·d）计，则施工人员生活垃圾产生量为</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kg/d。生活垃圾集中收集于垃圾桶内，定期清运至周边村庄，依托当地生活垃圾收集处理设施处理。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64" w:type="dxa"/>
            <w:noWrap w:val="0"/>
            <w:tcMar>
              <w:left w:w="28" w:type="dxa"/>
              <w:right w:w="28" w:type="dxa"/>
            </w:tcMar>
            <w:vAlign w:val="center"/>
          </w:tcPr>
          <w:p>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4"/>
                <w:szCs w:val="24"/>
                <w14:textFill>
                  <w14:solidFill>
                    <w14:schemeClr w14:val="tx1"/>
                  </w14:solidFill>
                </w14:textFill>
              </w:rPr>
            </w:pPr>
            <w:r>
              <w:rPr>
                <w:rFonts w:hint="default" w:ascii="Times New Roman" w:hAnsi="Times New Roman" w:eastAsia="宋体" w:cs="Times New Roman"/>
                <w:bCs/>
                <w:color w:val="000000" w:themeColor="text1"/>
                <w:spacing w:val="10"/>
                <w:kern w:val="2"/>
                <w:sz w:val="24"/>
                <w:szCs w:val="24"/>
                <w14:textFill>
                  <w14:solidFill>
                    <w14:schemeClr w14:val="tx1"/>
                  </w14:solidFill>
                </w14:textFill>
              </w:rPr>
              <w:t>运营期生态环境影响分析</w:t>
            </w:r>
          </w:p>
        </w:tc>
        <w:tc>
          <w:tcPr>
            <w:tcW w:w="7978" w:type="dxa"/>
            <w:noWrap w:val="0"/>
            <w:vAlign w:val="top"/>
          </w:tcPr>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1、生态环境影响分析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升压站永久占地造成的土地利用类型改变，企业通过在占地种植草木，增加绿化面积进行补偿，减少对植被影响及破坏。项目运营后，应积极植树种草，不会对原有生态环境造成较大影响，在种植过程中，需选择当地物种或在当地多年引种成熟的植物进行植被重建。必要时对土壤施加肥料，并设立专门人员负责植被恢复工作落实，提高植被恢复成活率。</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val="0"/>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u w:val="single"/>
                <w:lang w:val="en-US" w:eastAsia="zh-CN"/>
                <w14:textFill>
                  <w14:solidFill>
                    <w14:schemeClr w14:val="tx1"/>
                  </w14:solidFill>
                </w14:textFill>
              </w:rPr>
              <w:t>2、大气环境影响分析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本项目运营后，职工食堂能源采用液化气，大气环境影响主要来源于食堂油烟废气。食堂食物烹饪、加工过程中将挥发油脂、有机质及热分解或裂解产物，产生油烟废气。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本项目运营期年工作365 天，升压站常驻人员共</w:t>
            </w:r>
            <w:r>
              <w:rPr>
                <w:rFonts w:hint="eastAsia" w:cs="Times New Roman"/>
                <w:color w:val="000000" w:themeColor="text1"/>
                <w:sz w:val="24"/>
                <w:szCs w:val="24"/>
                <w:u w:val="singl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人，常驻人员位于升压站内食宿，根据《中国居民膳食指南》中推荐人均食用油量为30g/d，食用油烹饪时产生油烟量为1.035kg/t，则本项目食用油产生量为</w:t>
            </w:r>
            <w:r>
              <w:rPr>
                <w:rFonts w:hint="eastAsia" w:cs="Times New Roman"/>
                <w:color w:val="000000" w:themeColor="text1"/>
                <w:sz w:val="24"/>
                <w:szCs w:val="24"/>
                <w:u w:val="single"/>
                <w:lang w:val="en-US" w:eastAsia="zh-CN"/>
                <w14:textFill>
                  <w14:solidFill>
                    <w14:schemeClr w14:val="tx1"/>
                  </w14:solidFill>
                </w14:textFill>
              </w:rPr>
              <w:t>0.12</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kg/d、</w:t>
            </w:r>
            <w:r>
              <w:rPr>
                <w:rFonts w:hint="eastAsia" w:cs="Times New Roman"/>
                <w:color w:val="000000" w:themeColor="text1"/>
                <w:sz w:val="24"/>
                <w:szCs w:val="24"/>
                <w:u w:val="single"/>
                <w:lang w:val="en-US" w:eastAsia="zh-CN"/>
                <w14:textFill>
                  <w14:solidFill>
                    <w14:schemeClr w14:val="tx1"/>
                  </w14:solidFill>
                </w14:textFill>
              </w:rPr>
              <w:t>43.8</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kg/a，油烟产生量约为</w:t>
            </w:r>
            <w:r>
              <w:rPr>
                <w:rFonts w:hint="eastAsia" w:cs="Times New Roman"/>
                <w:color w:val="000000" w:themeColor="text1"/>
                <w:sz w:val="24"/>
                <w:szCs w:val="24"/>
                <w:u w:val="single"/>
                <w:lang w:val="en-US" w:eastAsia="zh-CN"/>
                <w14:textFill>
                  <w14:solidFill>
                    <w14:schemeClr w14:val="tx1"/>
                  </w14:solidFill>
                </w14:textFill>
              </w:rPr>
              <w:t>0.124</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g/d、</w:t>
            </w:r>
            <w:r>
              <w:rPr>
                <w:rFonts w:hint="eastAsia" w:cs="Times New Roman"/>
                <w:color w:val="000000" w:themeColor="text1"/>
                <w:sz w:val="24"/>
                <w:szCs w:val="24"/>
                <w:u w:val="single"/>
                <w:lang w:val="en-US" w:eastAsia="zh-CN"/>
                <w14:textFill>
                  <w14:solidFill>
                    <w14:schemeClr w14:val="tx1"/>
                  </w14:solidFill>
                </w14:textFill>
              </w:rPr>
              <w:t>45.333</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g/a，项目食堂每天工作</w:t>
            </w:r>
            <w:r>
              <w:rPr>
                <w:rFonts w:hint="eastAsia" w:cs="Times New Roman"/>
                <w:color w:val="000000" w:themeColor="text1"/>
                <w:sz w:val="24"/>
                <w:szCs w:val="24"/>
                <w:u w:val="single"/>
                <w:lang w:val="en-US" w:eastAsia="zh-CN"/>
                <w14:textFill>
                  <w14:solidFill>
                    <w14:schemeClr w14:val="tx1"/>
                  </w14:solidFill>
                </w14:textFill>
              </w:rPr>
              <w:t xml:space="preserve">1 </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h，油烟净化装置净化效率为60%、风量为</w:t>
            </w:r>
            <w:r>
              <w:rPr>
                <w:rFonts w:hint="eastAsia" w:cs="Times New Roman"/>
                <w:color w:val="000000" w:themeColor="text1"/>
                <w:sz w:val="24"/>
                <w:szCs w:val="24"/>
                <w:u w:val="singl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00m</w:t>
            </w:r>
            <w:r>
              <w:rPr>
                <w:rFonts w:hint="default" w:ascii="Times New Roman" w:hAnsi="Times New Roman" w:eastAsia="宋体" w:cs="Times New Roman"/>
                <w:color w:val="000000" w:themeColor="text1"/>
                <w:sz w:val="24"/>
                <w:szCs w:val="24"/>
                <w:u w:val="singl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/h，则烹饪油烟排放量约为</w:t>
            </w:r>
            <w:r>
              <w:rPr>
                <w:rFonts w:hint="eastAsia" w:cs="Times New Roman"/>
                <w:color w:val="000000" w:themeColor="text1"/>
                <w:sz w:val="24"/>
                <w:szCs w:val="24"/>
                <w:u w:val="single"/>
                <w:lang w:val="en-US" w:eastAsia="zh-CN"/>
                <w14:textFill>
                  <w14:solidFill>
                    <w14:schemeClr w14:val="tx1"/>
                  </w14:solidFill>
                </w14:textFill>
              </w:rPr>
              <w:t>0.05</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g/d、</w:t>
            </w:r>
            <w:r>
              <w:rPr>
                <w:rFonts w:hint="eastAsia" w:cs="Times New Roman"/>
                <w:color w:val="000000" w:themeColor="text1"/>
                <w:sz w:val="24"/>
                <w:szCs w:val="24"/>
                <w:u w:val="single"/>
                <w:lang w:val="en-US" w:eastAsia="zh-CN"/>
                <w14:textFill>
                  <w14:solidFill>
                    <w14:schemeClr w14:val="tx1"/>
                  </w14:solidFill>
                </w14:textFill>
              </w:rPr>
              <w:t>18.104</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g/a，排放浓度为</w:t>
            </w:r>
            <w:r>
              <w:rPr>
                <w:rFonts w:hint="eastAsia" w:cs="Times New Roman"/>
                <w:color w:val="000000" w:themeColor="text1"/>
                <w:sz w:val="24"/>
                <w:szCs w:val="24"/>
                <w:u w:val="single"/>
                <w:lang w:val="en-US" w:eastAsia="zh-CN"/>
                <w14:textFill>
                  <w14:solidFill>
                    <w14:schemeClr w14:val="tx1"/>
                  </w14:solidFill>
                </w14:textFill>
              </w:rPr>
              <w:t>0.08</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mg/m</w:t>
            </w:r>
            <w:r>
              <w:rPr>
                <w:rFonts w:hint="default" w:ascii="Times New Roman" w:hAnsi="Times New Roman" w:eastAsia="宋体" w:cs="Times New Roman"/>
                <w:color w:val="000000" w:themeColor="text1"/>
                <w:sz w:val="24"/>
                <w:szCs w:val="24"/>
                <w:u w:val="singl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，油烟通过油烟管道引至屋顶排放，油烟排放浓度达到《饮食业油烟排放标准》（GB 18438-2001）中最高允许排放标准≤2.0mg/m</w:t>
            </w:r>
            <w:r>
              <w:rPr>
                <w:rFonts w:hint="default" w:ascii="Times New Roman" w:hAnsi="Times New Roman" w:eastAsia="宋体" w:cs="Times New Roman"/>
                <w:color w:val="000000" w:themeColor="text1"/>
                <w:sz w:val="24"/>
                <w:szCs w:val="24"/>
                <w:u w:val="singl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 xml:space="preserve"> 的要求。</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3、地表水环境影响分析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本项目运营期年工作365 天，升压站常驻人员共</w:t>
            </w:r>
            <w:r>
              <w:rPr>
                <w:rFonts w:hint="default" w:ascii="Times New Roman" w:hAnsi="Times New Roman" w:cs="Times New Roman"/>
                <w:b w:val="0"/>
                <w:bCs/>
                <w:color w:val="000000" w:themeColor="text1"/>
                <w:sz w:val="24"/>
                <w:szCs w:val="24"/>
                <w:u w:val="singl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 xml:space="preserve"> 人，常驻人员位于升压站内食宿，根据《湖南省地方标准-用水定额》（DB43/T388-2020），因项目位于农村地区，参照分散式供水的用水定额，按90L/人·d计，则本项目生活用水量为</w:t>
            </w:r>
            <w:r>
              <w:rPr>
                <w:rFonts w:hint="default" w:ascii="Times New Roman" w:hAnsi="Times New Roman" w:cs="Times New Roman"/>
                <w:b w:val="0"/>
                <w:bCs/>
                <w:color w:val="000000" w:themeColor="text1"/>
                <w:sz w:val="24"/>
                <w:szCs w:val="24"/>
                <w:u w:val="single"/>
                <w:lang w:val="en-US" w:eastAsia="zh-CN"/>
                <w14:textFill>
                  <w14:solidFill>
                    <w14:schemeClr w14:val="tx1"/>
                  </w14:solidFill>
                </w14:textFill>
              </w:rPr>
              <w:t>131.4</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szCs w:val="24"/>
                <w:u w:val="singl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/a、0.</w:t>
            </w:r>
            <w:r>
              <w:rPr>
                <w:rFonts w:hint="default" w:ascii="Times New Roman" w:hAnsi="Times New Roman" w:cs="Times New Roman"/>
                <w:b w:val="0"/>
                <w:bCs/>
                <w:color w:val="000000" w:themeColor="text1"/>
                <w:sz w:val="24"/>
                <w:szCs w:val="24"/>
                <w:u w:val="single"/>
                <w:lang w:val="en-US" w:eastAsia="zh-CN"/>
                <w14:textFill>
                  <w14:solidFill>
                    <w14:schemeClr w14:val="tx1"/>
                  </w14:solidFill>
                </w14:textFill>
              </w:rPr>
              <w:t>36</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szCs w:val="24"/>
                <w:u w:val="singl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/d。产污系数按0.8计，则生活污水产生量为</w:t>
            </w:r>
            <w:r>
              <w:rPr>
                <w:rFonts w:hint="default" w:ascii="Times New Roman" w:hAnsi="Times New Roman" w:cs="Times New Roman"/>
                <w:b w:val="0"/>
                <w:bCs/>
                <w:color w:val="000000" w:themeColor="text1"/>
                <w:sz w:val="24"/>
                <w:szCs w:val="24"/>
                <w:u w:val="single"/>
                <w:lang w:val="en-US" w:eastAsia="zh-CN"/>
                <w14:textFill>
                  <w14:solidFill>
                    <w14:schemeClr w14:val="tx1"/>
                  </w14:solidFill>
                </w14:textFill>
              </w:rPr>
              <w:t>105.12</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szCs w:val="24"/>
                <w:u w:val="singl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/a、0.</w:t>
            </w:r>
            <w:r>
              <w:rPr>
                <w:rFonts w:hint="default" w:ascii="Times New Roman" w:hAnsi="Times New Roman" w:cs="Times New Roman"/>
                <w:b w:val="0"/>
                <w:bCs/>
                <w:color w:val="000000" w:themeColor="text1"/>
                <w:sz w:val="24"/>
                <w:szCs w:val="24"/>
                <w:u w:val="single"/>
                <w:lang w:val="en-US" w:eastAsia="zh-CN"/>
                <w14:textFill>
                  <w14:solidFill>
                    <w14:schemeClr w14:val="tx1"/>
                  </w14:solidFill>
                </w14:textFill>
              </w:rPr>
              <w:t>29</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szCs w:val="24"/>
                <w:u w:val="singl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/d，产生量较少，</w:t>
            </w:r>
            <w:r>
              <w:rPr>
                <w:rFonts w:hint="default" w:ascii="Times New Roman" w:hAnsi="Times New Roman" w:cs="Times New Roman"/>
                <w:b w:val="0"/>
                <w:bCs/>
                <w:color w:val="000000" w:themeColor="text1"/>
                <w:sz w:val="24"/>
                <w:szCs w:val="24"/>
                <w:u w:val="single"/>
                <w:lang w:val="en-US" w:eastAsia="zh-CN"/>
                <w14:textFill>
                  <w14:solidFill>
                    <w14:schemeClr w14:val="tx1"/>
                  </w14:solidFill>
                </w14:textFill>
              </w:rPr>
              <w:t>生活污水经一体化污水处理设备处理</w:t>
            </w:r>
            <w:r>
              <w:rPr>
                <w:rFonts w:hint="eastAsia" w:cs="Times New Roman"/>
                <w:b w:val="0"/>
                <w:bCs/>
                <w:color w:val="000000" w:themeColor="text1"/>
                <w:sz w:val="24"/>
                <w:szCs w:val="24"/>
                <w:u w:val="single"/>
                <w:lang w:val="en-US" w:eastAsia="zh-CN"/>
                <w14:textFill>
                  <w14:solidFill>
                    <w14:schemeClr w14:val="tx1"/>
                  </w14:solidFill>
                </w14:textFill>
              </w:rPr>
              <w:t>（处理规模为1.0t/d）</w:t>
            </w:r>
            <w:r>
              <w:rPr>
                <w:rFonts w:hint="default" w:ascii="Times New Roman" w:hAnsi="Times New Roman" w:cs="Times New Roman"/>
                <w:b w:val="0"/>
                <w:bCs/>
                <w:color w:val="000000" w:themeColor="text1"/>
                <w:sz w:val="24"/>
                <w:szCs w:val="24"/>
                <w:u w:val="single"/>
                <w:lang w:val="en-US" w:eastAsia="zh-CN"/>
                <w14:textFill>
                  <w14:solidFill>
                    <w14:schemeClr w14:val="tx1"/>
                  </w14:solidFill>
                </w14:textFill>
              </w:rPr>
              <w:t>后用于站内绿化，不外排</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val="0"/>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u w:val="single"/>
                <w:lang w:val="en-US" w:eastAsia="zh-CN"/>
                <w14:textFill>
                  <w14:solidFill>
                    <w14:schemeClr w14:val="tx1"/>
                  </w14:solidFill>
                </w14:textFill>
              </w:rPr>
              <w:t>4、噪声影响分析</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u w:val="single"/>
                <w14:textFill>
                  <w14:solidFill>
                    <w14:schemeClr w14:val="tx1"/>
                  </w14:solidFill>
                </w14:textFill>
              </w:rPr>
              <w:t>本工程</w:t>
            </w:r>
            <w:r>
              <w:rPr>
                <w:rFonts w:hint="default" w:ascii="Times New Roman" w:hAnsi="Times New Roman" w:eastAsia="TimesNewRomanPSMT" w:cs="Times New Roman"/>
                <w:color w:val="000000" w:themeColor="text1"/>
                <w:sz w:val="24"/>
                <w:szCs w:val="24"/>
                <w:u w:val="single"/>
                <w14:textFill>
                  <w14:solidFill>
                    <w14:schemeClr w14:val="tx1"/>
                  </w14:solidFill>
                </w14:textFill>
              </w:rPr>
              <w:t xml:space="preserve">110kV </w:t>
            </w:r>
            <w:r>
              <w:rPr>
                <w:rFonts w:hint="default" w:ascii="Times New Roman" w:hAnsi="Times New Roman" w:eastAsia="宋体" w:cs="Times New Roman"/>
                <w:color w:val="000000" w:themeColor="text1"/>
                <w:sz w:val="24"/>
                <w:szCs w:val="24"/>
                <w:u w:val="single"/>
                <w14:textFill>
                  <w14:solidFill>
                    <w14:schemeClr w14:val="tx1"/>
                  </w14:solidFill>
                </w14:textFill>
              </w:rPr>
              <w:t>变电站为户外式布置，</w:t>
            </w: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升压站运行期间的噪声源主要为主变压器</w:t>
            </w:r>
            <w:r>
              <w:rPr>
                <w:rFonts w:hint="default" w:ascii="Times New Roman" w:hAnsi="Times New Roman" w:cs="Times New Roman"/>
                <w:color w:val="000000" w:themeColor="text1"/>
                <w:spacing w:val="6"/>
                <w:kern w:val="2"/>
                <w:sz w:val="24"/>
                <w:szCs w:val="24"/>
                <w:highlight w:val="none"/>
                <w:u w:val="single"/>
                <w:lang w:val="en-US" w:eastAsia="zh-CN" w:bidi="ar-SA"/>
                <w14:textFill>
                  <w14:solidFill>
                    <w14:schemeClr w14:val="tx1"/>
                  </w14:solidFill>
                </w14:textFill>
              </w:rPr>
              <w:t>、备用变压器</w:t>
            </w: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和</w:t>
            </w:r>
            <w:r>
              <w:rPr>
                <w:rFonts w:hint="default" w:ascii="Times New Roman" w:hAnsi="Times New Roman" w:eastAsia="宋体" w:cs="Times New Roman"/>
                <w:color w:val="000000" w:themeColor="text1"/>
                <w:spacing w:val="6"/>
                <w:kern w:val="2"/>
                <w:sz w:val="24"/>
                <w:szCs w:val="24"/>
                <w:highlight w:val="none"/>
                <w:u w:val="single"/>
                <w:shd w:val="clear" w:color="auto" w:fill="auto"/>
                <w:lang w:val="en-US" w:eastAsia="zh-CN" w:bidi="ar-SA"/>
                <w14:textFill>
                  <w14:solidFill>
                    <w14:schemeClr w14:val="tx1"/>
                  </w14:solidFill>
                </w14:textFill>
              </w:rPr>
              <w:t>SVG无功补偿装置</w:t>
            </w: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运行时所产生的噪声。</w:t>
            </w:r>
          </w:p>
          <w:p>
            <w:pPr>
              <w:keepNext w:val="0"/>
              <w:keepLines w:val="0"/>
              <w:widowControl w:val="0"/>
              <w:suppressLineNumbers w:val="0"/>
              <w:spacing w:before="0" w:beforeAutospacing="0" w:after="0" w:afterAutospacing="0" w:line="360" w:lineRule="auto"/>
              <w:ind w:left="0" w:right="0" w:firstLine="504" w:firstLineChars="200"/>
              <w:jc w:val="both"/>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pPr>
            <w:r>
              <w:rPr>
                <w:rFonts w:hint="default" w:ascii="Times New Roman" w:hAnsi="Times New Roman" w:cs="Times New Roman"/>
                <w:color w:val="000000" w:themeColor="text1"/>
                <w:spacing w:val="6"/>
                <w:kern w:val="2"/>
                <w:sz w:val="24"/>
                <w:szCs w:val="24"/>
                <w:highlight w:val="none"/>
                <w:u w:val="single"/>
                <w:lang w:val="en-US" w:eastAsia="zh-CN" w:bidi="ar-SA"/>
                <w14:textFill>
                  <w14:solidFill>
                    <w14:schemeClr w14:val="tx1"/>
                  </w14:solidFill>
                </w14:textFill>
              </w:rPr>
              <w:t>（1）预测模式</w:t>
            </w:r>
          </w:p>
          <w:p>
            <w:pPr>
              <w:keepNext w:val="0"/>
              <w:keepLines w:val="0"/>
              <w:widowControl w:val="0"/>
              <w:suppressLineNumbers w:val="0"/>
              <w:spacing w:before="0" w:beforeAutospacing="0" w:after="0" w:afterAutospacing="0" w:line="360" w:lineRule="auto"/>
              <w:ind w:left="0" w:right="0" w:firstLine="504" w:firstLineChars="200"/>
              <w:jc w:val="both"/>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根据《环境影响评价技术导则声环境》（HJ2.4-2021），本次评价采取导则上推荐模式。该声源属于室外声源，依据建设项目平面布置图、设备清单及声源源强等资料，建立噪声预测的坐标系，确定主要声源坐标，计算工程建成后的站界噪声预测值。采用《环境影响评价技术导则声环境》（HJ 2.4-2021）中的室外工业噪声预测模式。</w:t>
            </w:r>
          </w:p>
          <w:p>
            <w:pPr>
              <w:keepNext w:val="0"/>
              <w:keepLines w:val="0"/>
              <w:widowControl w:val="0"/>
              <w:suppressLineNumbers w:val="0"/>
              <w:spacing w:before="0" w:beforeAutospacing="0" w:after="0" w:afterAutospacing="0" w:line="360" w:lineRule="auto"/>
              <w:ind w:left="0" w:right="0" w:firstLine="504" w:firstLineChars="200"/>
              <w:jc w:val="both"/>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1）室外声源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04" w:firstLineChars="200"/>
              <w:jc w:val="both"/>
              <w:textAlignment w:val="auto"/>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①计算某个声源在预测点的倍频带声压级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1628775" cy="314325"/>
                  <wp:effectExtent l="0" t="0" r="9525" b="952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4"/>
                          <a:stretch>
                            <a:fillRect/>
                          </a:stretch>
                        </pic:blipFill>
                        <pic:spPr>
                          <a:xfrm>
                            <a:off x="0" y="0"/>
                            <a:ext cx="1628775" cy="31432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2486025" cy="295275"/>
                  <wp:effectExtent l="0" t="0" r="9525" b="952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15"/>
                          <a:stretch>
                            <a:fillRect/>
                          </a:stretch>
                        </pic:blipFill>
                        <pic:spPr>
                          <a:xfrm>
                            <a:off x="0" y="0"/>
                            <a:ext cx="2486025" cy="29527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04" w:firstLineChars="200"/>
              <w:jc w:val="both"/>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式中：</w:t>
            </w:r>
          </w:p>
          <w:p>
            <w:pPr>
              <w:keepNext w:val="0"/>
              <w:keepLines w:val="0"/>
              <w:widowControl w:val="0"/>
              <w:suppressLineNumbers w:val="0"/>
              <w:spacing w:before="0" w:beforeAutospacing="0" w:after="0" w:afterAutospacing="0" w:line="360" w:lineRule="auto"/>
              <w:ind w:left="0" w:right="0" w:firstLine="504" w:firstLineChars="200"/>
              <w:jc w:val="both"/>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Lw ——倍频带声功率级，dB；</w:t>
            </w:r>
          </w:p>
          <w:p>
            <w:pPr>
              <w:keepNext w:val="0"/>
              <w:keepLines w:val="0"/>
              <w:widowControl w:val="0"/>
              <w:suppressLineNumbers w:val="0"/>
              <w:spacing w:before="0" w:beforeAutospacing="0" w:after="0" w:afterAutospacing="0" w:line="360" w:lineRule="auto"/>
              <w:ind w:left="0" w:right="0" w:firstLine="504" w:firstLineChars="200"/>
              <w:jc w:val="both"/>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Dc ——指向性校正，dB，它描述点声源的等效连续声压级与产生声功率级Lw的全向点声源在规定方向的级的偏差程度。指向性校正等于点声源的指向性指数Di加上计到小于4π球面度（sr）立体角内的声传播指数</w:t>
            </w:r>
            <w:r>
              <w:rPr>
                <w:rFonts w:hint="default"/>
                <w:color w:val="000000" w:themeColor="text1"/>
                <w14:textFill>
                  <w14:solidFill>
                    <w14:schemeClr w14:val="tx1"/>
                  </w14:solidFill>
                </w14:textFill>
              </w:rPr>
              <w:drawing>
                <wp:inline distT="0" distB="0" distL="114300" distR="114300">
                  <wp:extent cx="209550" cy="238125"/>
                  <wp:effectExtent l="0" t="0" r="0" b="952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16"/>
                          <a:stretch>
                            <a:fillRect/>
                          </a:stretch>
                        </pic:blipFill>
                        <pic:spPr>
                          <a:xfrm>
                            <a:off x="0" y="0"/>
                            <a:ext cx="209550" cy="238125"/>
                          </a:xfrm>
                          <a:prstGeom prst="rect">
                            <a:avLst/>
                          </a:prstGeom>
                          <a:noFill/>
                          <a:ln>
                            <a:noFill/>
                          </a:ln>
                        </pic:spPr>
                      </pic:pic>
                    </a:graphicData>
                  </a:graphic>
                </wp:inline>
              </w:drawing>
            </w:r>
            <w:r>
              <w:rPr>
                <w:rFonts w:hint="eastAsia"/>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对辐射到自由空间的全向点声源，Dc=0dB。</w:t>
            </w:r>
          </w:p>
          <w:p>
            <w:pPr>
              <w:keepNext w:val="0"/>
              <w:keepLines w:val="0"/>
              <w:widowControl w:val="0"/>
              <w:suppressLineNumbers w:val="0"/>
              <w:spacing w:before="0" w:beforeAutospacing="0" w:after="0" w:afterAutospacing="0" w:line="360" w:lineRule="auto"/>
              <w:ind w:left="0" w:right="0" w:firstLine="504" w:firstLineChars="200"/>
              <w:jc w:val="both"/>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A ——倍频带衰减，dB；</w:t>
            </w:r>
          </w:p>
          <w:p>
            <w:pPr>
              <w:keepNext w:val="0"/>
              <w:keepLines w:val="0"/>
              <w:widowControl w:val="0"/>
              <w:suppressLineNumbers w:val="0"/>
              <w:spacing w:before="0" w:beforeAutospacing="0" w:after="0" w:afterAutospacing="0" w:line="360" w:lineRule="auto"/>
              <w:ind w:left="0" w:right="0" w:firstLine="504" w:firstLineChars="200"/>
              <w:jc w:val="both"/>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A</w:t>
            </w:r>
            <w:r>
              <w:rPr>
                <w:rFonts w:hint="default" w:ascii="Times New Roman" w:hAnsi="Times New Roman" w:cs="Times New Roman"/>
                <w:color w:val="000000" w:themeColor="text1"/>
                <w:spacing w:val="6"/>
                <w:kern w:val="2"/>
                <w:sz w:val="24"/>
                <w:szCs w:val="24"/>
                <w:highlight w:val="none"/>
                <w:u w:val="single"/>
                <w:vertAlign w:val="subscript"/>
                <w:lang w:val="en-US" w:eastAsia="zh-CN" w:bidi="ar-SA"/>
                <w14:textFill>
                  <w14:solidFill>
                    <w14:schemeClr w14:val="tx1"/>
                  </w14:solidFill>
                </w14:textFill>
              </w:rPr>
              <w:t>div</w:t>
            </w: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 xml:space="preserve"> ——几何发散引起的倍频带衰减，dB；</w:t>
            </w:r>
          </w:p>
          <w:p>
            <w:pPr>
              <w:keepNext w:val="0"/>
              <w:keepLines w:val="0"/>
              <w:widowControl w:val="0"/>
              <w:suppressLineNumbers w:val="0"/>
              <w:spacing w:before="0" w:beforeAutospacing="0" w:after="0" w:afterAutospacing="0" w:line="360" w:lineRule="auto"/>
              <w:ind w:left="0" w:right="0" w:firstLine="504" w:firstLineChars="200"/>
              <w:jc w:val="both"/>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A</w:t>
            </w:r>
            <w:r>
              <w:rPr>
                <w:rFonts w:hint="default" w:ascii="Times New Roman" w:hAnsi="Times New Roman" w:eastAsia="宋体" w:cs="Times New Roman"/>
                <w:color w:val="000000" w:themeColor="text1"/>
                <w:spacing w:val="6"/>
                <w:kern w:val="2"/>
                <w:sz w:val="24"/>
                <w:szCs w:val="24"/>
                <w:highlight w:val="none"/>
                <w:u w:val="single"/>
                <w:vertAlign w:val="subscript"/>
                <w:lang w:val="en-US" w:eastAsia="zh-CN" w:bidi="ar-SA"/>
                <w14:textFill>
                  <w14:solidFill>
                    <w14:schemeClr w14:val="tx1"/>
                  </w14:solidFill>
                </w14:textFill>
              </w:rPr>
              <w:t>atm</w:t>
            </w:r>
            <w:r>
              <w:rPr>
                <w:rFonts w:hint="default" w:ascii="Times New Roman" w:hAnsi="Times New Roman" w:cs="Times New Roman"/>
                <w:color w:val="000000" w:themeColor="text1"/>
                <w:spacing w:val="6"/>
                <w:kern w:val="2"/>
                <w:sz w:val="24"/>
                <w:szCs w:val="24"/>
                <w:highlight w:val="none"/>
                <w:u w:val="single"/>
                <w:vertAlign w:val="subscript"/>
                <w:lang w:val="en-US" w:eastAsia="zh-CN" w:bidi="ar-SA"/>
                <w14:textFill>
                  <w14:solidFill>
                    <w14:schemeClr w14:val="tx1"/>
                  </w14:solidFill>
                </w14:textFill>
              </w:rPr>
              <w:t xml:space="preserve"> </w:t>
            </w: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——大气吸收引起的倍频带衰减，dB；</w:t>
            </w:r>
          </w:p>
          <w:p>
            <w:pPr>
              <w:keepNext w:val="0"/>
              <w:keepLines w:val="0"/>
              <w:widowControl w:val="0"/>
              <w:suppressLineNumbers w:val="0"/>
              <w:spacing w:before="0" w:beforeAutospacing="0" w:after="0" w:afterAutospacing="0" w:line="360" w:lineRule="auto"/>
              <w:ind w:left="0" w:right="0" w:firstLine="504" w:firstLineChars="200"/>
              <w:jc w:val="both"/>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A</w:t>
            </w:r>
            <w:r>
              <w:rPr>
                <w:rFonts w:hint="default" w:ascii="Times New Roman" w:hAnsi="Times New Roman" w:eastAsia="宋体" w:cs="Times New Roman"/>
                <w:color w:val="000000" w:themeColor="text1"/>
                <w:spacing w:val="6"/>
                <w:kern w:val="2"/>
                <w:sz w:val="24"/>
                <w:szCs w:val="24"/>
                <w:highlight w:val="none"/>
                <w:u w:val="single"/>
                <w:vertAlign w:val="subscript"/>
                <w:lang w:val="en-US" w:eastAsia="zh-CN" w:bidi="ar-SA"/>
                <w14:textFill>
                  <w14:solidFill>
                    <w14:schemeClr w14:val="tx1"/>
                  </w14:solidFill>
                </w14:textFill>
              </w:rPr>
              <w:t>gr</w:t>
            </w: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 xml:space="preserve"> ——地面效应引起的倍频带衰减，dB；</w:t>
            </w:r>
          </w:p>
          <w:p>
            <w:pPr>
              <w:keepNext w:val="0"/>
              <w:keepLines w:val="0"/>
              <w:widowControl w:val="0"/>
              <w:suppressLineNumbers w:val="0"/>
              <w:spacing w:before="0" w:beforeAutospacing="0" w:after="0" w:afterAutospacing="0" w:line="360" w:lineRule="auto"/>
              <w:ind w:left="0" w:right="0" w:firstLine="504" w:firstLineChars="200"/>
              <w:jc w:val="both"/>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A</w:t>
            </w:r>
            <w:r>
              <w:rPr>
                <w:rFonts w:hint="default" w:ascii="Times New Roman" w:hAnsi="Times New Roman" w:eastAsia="宋体" w:cs="Times New Roman"/>
                <w:color w:val="000000" w:themeColor="text1"/>
                <w:spacing w:val="6"/>
                <w:kern w:val="2"/>
                <w:sz w:val="24"/>
                <w:szCs w:val="24"/>
                <w:highlight w:val="none"/>
                <w:u w:val="single"/>
                <w:vertAlign w:val="subscript"/>
                <w:lang w:val="en-US" w:eastAsia="zh-CN" w:bidi="ar-SA"/>
                <w14:textFill>
                  <w14:solidFill>
                    <w14:schemeClr w14:val="tx1"/>
                  </w14:solidFill>
                </w14:textFill>
              </w:rPr>
              <w:t>bar</w:t>
            </w:r>
            <w:r>
              <w:rPr>
                <w:rFonts w:hint="default" w:ascii="Times New Roman" w:hAnsi="Times New Roman" w:cs="Times New Roman"/>
                <w:color w:val="000000" w:themeColor="text1"/>
                <w:spacing w:val="6"/>
                <w:kern w:val="2"/>
                <w:sz w:val="24"/>
                <w:szCs w:val="24"/>
                <w:highlight w:val="none"/>
                <w:u w:val="single"/>
                <w:vertAlign w:val="subscript"/>
                <w:lang w:val="en-US" w:eastAsia="zh-CN" w:bidi="ar-SA"/>
                <w14:textFill>
                  <w14:solidFill>
                    <w14:schemeClr w14:val="tx1"/>
                  </w14:solidFill>
                </w14:textFill>
              </w:rPr>
              <w:t xml:space="preserve"> </w:t>
            </w: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——声屏障引起的倍频带衰减，dB；</w:t>
            </w:r>
          </w:p>
          <w:p>
            <w:pPr>
              <w:keepNext w:val="0"/>
              <w:keepLines w:val="0"/>
              <w:widowControl w:val="0"/>
              <w:suppressLineNumbers w:val="0"/>
              <w:spacing w:before="0" w:beforeAutospacing="0" w:after="0" w:afterAutospacing="0" w:line="360" w:lineRule="auto"/>
              <w:ind w:left="0" w:right="0" w:firstLine="504" w:firstLineChars="200"/>
              <w:jc w:val="both"/>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A</w:t>
            </w:r>
            <w:r>
              <w:rPr>
                <w:rFonts w:hint="default" w:ascii="Times New Roman" w:hAnsi="Times New Roman" w:eastAsia="宋体" w:cs="Times New Roman"/>
                <w:color w:val="000000" w:themeColor="text1"/>
                <w:spacing w:val="6"/>
                <w:kern w:val="2"/>
                <w:sz w:val="24"/>
                <w:szCs w:val="24"/>
                <w:highlight w:val="none"/>
                <w:u w:val="single"/>
                <w:vertAlign w:val="subscript"/>
                <w:lang w:val="en-US" w:eastAsia="zh-CN" w:bidi="ar-SA"/>
                <w14:textFill>
                  <w14:solidFill>
                    <w14:schemeClr w14:val="tx1"/>
                  </w14:solidFill>
                </w14:textFill>
              </w:rPr>
              <w:t>misc</w:t>
            </w: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——其它多方面效应引起的倍频带衰减，dB；</w:t>
            </w:r>
          </w:p>
          <w:p>
            <w:pPr>
              <w:keepNext w:val="0"/>
              <w:keepLines w:val="0"/>
              <w:widowControl w:val="0"/>
              <w:suppressLineNumbers w:val="0"/>
              <w:spacing w:before="0" w:beforeAutospacing="0" w:after="0" w:afterAutospacing="0" w:line="360" w:lineRule="auto"/>
              <w:ind w:left="0" w:right="0" w:firstLine="504" w:firstLineChars="200"/>
              <w:jc w:val="both"/>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②已知靠近声源处某点的倍频带声压级</w:t>
            </w:r>
            <w:r>
              <w:rPr>
                <w:rFonts w:hint="default"/>
                <w:color w:val="000000" w:themeColor="text1"/>
                <w14:textFill>
                  <w14:solidFill>
                    <w14:schemeClr w14:val="tx1"/>
                  </w14:solidFill>
                </w14:textFill>
              </w:rPr>
              <w:drawing>
                <wp:inline distT="0" distB="0" distL="114300" distR="114300">
                  <wp:extent cx="504825" cy="304800"/>
                  <wp:effectExtent l="0" t="0" r="9525" b="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17"/>
                          <a:stretch>
                            <a:fillRect/>
                          </a:stretch>
                        </pic:blipFill>
                        <pic:spPr>
                          <a:xfrm>
                            <a:off x="0" y="0"/>
                            <a:ext cx="504825" cy="304800"/>
                          </a:xfrm>
                          <a:prstGeom prst="rect">
                            <a:avLst/>
                          </a:prstGeom>
                          <a:noFill/>
                          <a:ln>
                            <a:noFill/>
                          </a:ln>
                        </pic:spPr>
                      </pic:pic>
                    </a:graphicData>
                  </a:graphic>
                </wp:inline>
              </w:drawing>
            </w:r>
            <w:r>
              <w:rPr>
                <w:rFonts w:hint="default" w:ascii="Times New Roman" w:hAnsi="Times New Roman" w:eastAsia="Symbol" w:cs="Times New Roman"/>
                <w:color w:val="000000" w:themeColor="text1"/>
                <w:w w:val="98"/>
                <w:position w:val="16"/>
                <w:sz w:val="36"/>
                <w:szCs w:val="36"/>
                <w:u w:val="single"/>
                <w14:textFill>
                  <w14:solidFill>
                    <w14:schemeClr w14:val="tx1"/>
                  </w14:solidFill>
                </w14:textFill>
              </w:rPr>
              <w:t></w:t>
            </w: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，计算相同方向预测点位置的倍频带声压级</w:t>
            </w:r>
            <w:r>
              <w:rPr>
                <w:rFonts w:hint="eastAsia" w:cs="Times New Roman"/>
                <w:color w:val="000000" w:themeColor="text1"/>
                <w:spacing w:val="6"/>
                <w:kern w:val="2"/>
                <w:sz w:val="24"/>
                <w:szCs w:val="24"/>
                <w:highlight w:val="none"/>
                <w:u w:val="single"/>
                <w:lang w:val="en-US" w:eastAsia="zh-CN" w:bidi="ar-SA"/>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420" w:firstLineChars="200"/>
              <w:jc w:val="both"/>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1781810" cy="228600"/>
                  <wp:effectExtent l="0" t="0" r="8890" b="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18"/>
                          <a:stretch>
                            <a:fillRect/>
                          </a:stretch>
                        </pic:blipFill>
                        <pic:spPr>
                          <a:xfrm>
                            <a:off x="0" y="0"/>
                            <a:ext cx="1781810" cy="2286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u w:val="single"/>
                <w14:textFill>
                  <w14:solidFill>
                    <w14:schemeClr w14:val="tx1"/>
                  </w14:solidFill>
                </w14:textFill>
              </w:rPr>
            </w:pPr>
            <w:r>
              <w:rPr>
                <w:rFonts w:hint="default" w:ascii="Times New Roman" w:hAnsi="Times New Roman" w:cs="Times New Roman"/>
                <w:color w:val="000000" w:themeColor="text1"/>
                <w:sz w:val="24"/>
                <w:szCs w:val="24"/>
                <w:u w:val="single"/>
                <w14:textFill>
                  <w14:solidFill>
                    <w14:schemeClr w14:val="tx1"/>
                  </w14:solidFill>
                </w14:textFill>
              </w:rPr>
              <w:t>预测点的</w:t>
            </w:r>
            <w:r>
              <w:rPr>
                <w:rFonts w:hint="default" w:ascii="Times New Roman" w:hAnsi="Times New Roman" w:cs="Times New Roman"/>
                <w:color w:val="000000" w:themeColor="text1"/>
                <w:spacing w:val="-54"/>
                <w:sz w:val="24"/>
                <w:szCs w:val="24"/>
                <w:u w:val="single"/>
                <w14:textFill>
                  <w14:solidFill>
                    <w14:schemeClr w14:val="tx1"/>
                  </w14:solidFill>
                </w14:textFill>
              </w:rPr>
              <w:t xml:space="preserve"> </w:t>
            </w:r>
            <w:r>
              <w:rPr>
                <w:rFonts w:hint="default" w:ascii="Times New Roman" w:hAnsi="Times New Roman" w:eastAsia="Times New Roman" w:cs="Times New Roman"/>
                <w:color w:val="000000" w:themeColor="text1"/>
                <w:sz w:val="24"/>
                <w:szCs w:val="24"/>
                <w:u w:val="single"/>
                <w14:textFill>
                  <w14:solidFill>
                    <w14:schemeClr w14:val="tx1"/>
                  </w14:solidFill>
                </w14:textFill>
              </w:rPr>
              <w:t>A</w:t>
            </w:r>
            <w:r>
              <w:rPr>
                <w:rFonts w:hint="default" w:ascii="Times New Roman" w:hAnsi="Times New Roman" w:eastAsia="Times New Roman" w:cs="Times New Roman"/>
                <w:color w:val="000000" w:themeColor="text1"/>
                <w:spacing w:val="5"/>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u w:val="single"/>
                <w14:textFill>
                  <w14:solidFill>
                    <w14:schemeClr w14:val="tx1"/>
                  </w14:solidFill>
                </w14:textFill>
              </w:rPr>
              <w:t>声级</w:t>
            </w:r>
            <w:r>
              <w:rPr>
                <w:rFonts w:hint="default" w:ascii="Times New Roman" w:hAnsi="Times New Roman" w:cs="Times New Roman"/>
                <w:color w:val="000000" w:themeColor="text1"/>
                <w:spacing w:val="-63"/>
                <w:sz w:val="24"/>
                <w:szCs w:val="24"/>
                <w:u w:val="single"/>
                <w14:textFill>
                  <w14:solidFill>
                    <w14:schemeClr w14:val="tx1"/>
                  </w14:solidFill>
                </w14:textFill>
              </w:rPr>
              <w:t xml:space="preserve"> </w:t>
            </w:r>
            <w:r>
              <w:rPr>
                <w:rFonts w:hint="default" w:ascii="Times New Roman" w:hAnsi="Times New Roman" w:eastAsia="Times New Roman" w:cs="Times New Roman"/>
                <w:i/>
                <w:color w:val="000000" w:themeColor="text1"/>
                <w:spacing w:val="-5"/>
                <w:position w:val="13"/>
                <w:sz w:val="24"/>
                <w:szCs w:val="24"/>
                <w:u w:val="single"/>
                <w14:textFill>
                  <w14:solidFill>
                    <w14:schemeClr w14:val="tx1"/>
                  </w14:solidFill>
                </w14:textFill>
              </w:rPr>
              <w:t>L</w:t>
            </w:r>
            <w:r>
              <w:rPr>
                <w:rFonts w:hint="default" w:ascii="Times New Roman" w:hAnsi="Times New Roman" w:eastAsia="Times New Roman" w:cs="Times New Roman"/>
                <w:i/>
                <w:color w:val="000000" w:themeColor="text1"/>
                <w:spacing w:val="-5"/>
                <w:position w:val="5"/>
                <w:sz w:val="24"/>
                <w:szCs w:val="24"/>
                <w:u w:val="single"/>
                <w14:textFill>
                  <w14:solidFill>
                    <w14:schemeClr w14:val="tx1"/>
                  </w14:solidFill>
                </w14:textFill>
              </w:rPr>
              <w:t>A</w:t>
            </w:r>
            <w:r>
              <w:rPr>
                <w:rFonts w:hint="default" w:ascii="Times New Roman" w:hAnsi="Times New Roman" w:eastAsia="Times New Roman" w:cs="Times New Roman"/>
                <w:i/>
                <w:color w:val="000000" w:themeColor="text1"/>
                <w:spacing w:val="-24"/>
                <w:position w:val="5"/>
                <w:sz w:val="24"/>
                <w:szCs w:val="24"/>
                <w:u w:val="single"/>
                <w14:textFill>
                  <w14:solidFill>
                    <w14:schemeClr w14:val="tx1"/>
                  </w14:solidFill>
                </w14:textFill>
              </w:rPr>
              <w:t xml:space="preserve"> </w:t>
            </w:r>
            <w:r>
              <w:rPr>
                <w:rFonts w:hint="default" w:ascii="Times New Roman" w:hAnsi="Times New Roman" w:eastAsia="Times New Roman" w:cs="Times New Roman"/>
                <w:color w:val="000000" w:themeColor="text1"/>
                <w:spacing w:val="4"/>
                <w:position w:val="13"/>
                <w:sz w:val="24"/>
                <w:szCs w:val="24"/>
                <w:u w:val="single"/>
                <w14:textFill>
                  <w14:solidFill>
                    <w14:schemeClr w14:val="tx1"/>
                  </w14:solidFill>
                </w14:textFill>
              </w:rPr>
              <w:t>(</w:t>
            </w:r>
            <w:r>
              <w:rPr>
                <w:rFonts w:hint="default" w:ascii="Times New Roman" w:hAnsi="Times New Roman" w:eastAsia="Times New Roman" w:cs="Times New Roman"/>
                <w:i/>
                <w:color w:val="000000" w:themeColor="text1"/>
                <w:spacing w:val="4"/>
                <w:position w:val="13"/>
                <w:sz w:val="24"/>
                <w:szCs w:val="24"/>
                <w:u w:val="single"/>
                <w14:textFill>
                  <w14:solidFill>
                    <w14:schemeClr w14:val="tx1"/>
                  </w14:solidFill>
                </w14:textFill>
              </w:rPr>
              <w:t>r</w:t>
            </w:r>
            <w:r>
              <w:rPr>
                <w:rFonts w:hint="default" w:ascii="Times New Roman" w:hAnsi="Times New Roman" w:eastAsia="Times New Roman" w:cs="Times New Roman"/>
                <w:color w:val="000000" w:themeColor="text1"/>
                <w:spacing w:val="4"/>
                <w:position w:val="13"/>
                <w:sz w:val="24"/>
                <w:szCs w:val="24"/>
                <w:u w:val="single"/>
                <w14:textFill>
                  <w14:solidFill>
                    <w14:schemeClr w14:val="tx1"/>
                  </w14:solidFill>
                </w14:textFill>
              </w:rPr>
              <w:t>)</w:t>
            </w:r>
            <w:r>
              <w:rPr>
                <w:rFonts w:hint="default" w:ascii="Times New Roman" w:hAnsi="Times New Roman" w:cs="Times New Roman"/>
                <w:color w:val="000000" w:themeColor="text1"/>
                <w:spacing w:val="4"/>
                <w:sz w:val="24"/>
                <w:szCs w:val="24"/>
                <w:u w:val="single"/>
                <w14:textFill>
                  <w14:solidFill>
                    <w14:schemeClr w14:val="tx1"/>
                  </w14:solidFill>
                </w14:textFill>
              </w:rPr>
              <w:t>，可利用</w:t>
            </w:r>
            <w:r>
              <w:rPr>
                <w:rFonts w:hint="default" w:ascii="Times New Roman" w:hAnsi="Times New Roman" w:cs="Times New Roman"/>
                <w:color w:val="000000" w:themeColor="text1"/>
                <w:spacing w:val="-54"/>
                <w:sz w:val="24"/>
                <w:szCs w:val="24"/>
                <w:u w:val="single"/>
                <w14:textFill>
                  <w14:solidFill>
                    <w14:schemeClr w14:val="tx1"/>
                  </w14:solidFill>
                </w14:textFill>
              </w:rPr>
              <w:t xml:space="preserve"> </w:t>
            </w:r>
            <w:r>
              <w:rPr>
                <w:rFonts w:hint="default" w:ascii="Times New Roman" w:hAnsi="Times New Roman" w:eastAsia="Times New Roman" w:cs="Times New Roman"/>
                <w:color w:val="000000" w:themeColor="text1"/>
                <w:sz w:val="24"/>
                <w:szCs w:val="24"/>
                <w:u w:val="single"/>
                <w14:textFill>
                  <w14:solidFill>
                    <w14:schemeClr w14:val="tx1"/>
                  </w14:solidFill>
                </w14:textFill>
              </w:rPr>
              <w:t>8</w:t>
            </w:r>
            <w:r>
              <w:rPr>
                <w:rFonts w:hint="default" w:ascii="Times New Roman" w:hAnsi="Times New Roman" w:eastAsia="Times New Roman" w:cs="Times New Roman"/>
                <w:color w:val="000000" w:themeColor="text1"/>
                <w:spacing w:val="6"/>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u w:val="single"/>
                <w14:textFill>
                  <w14:solidFill>
                    <w14:schemeClr w14:val="tx1"/>
                  </w14:solidFill>
                </w14:textFill>
              </w:rPr>
              <w:t>个倍频带的声压级按如下计算：</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drawing>
                <wp:inline distT="0" distB="0" distL="114300" distR="114300">
                  <wp:extent cx="2162175" cy="511175"/>
                  <wp:effectExtent l="0" t="0" r="9525"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9"/>
                          <a:stretch>
                            <a:fillRect/>
                          </a:stretch>
                        </pic:blipFill>
                        <pic:spPr>
                          <a:xfrm>
                            <a:off x="0" y="0"/>
                            <a:ext cx="2162175" cy="51117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eastAsia="宋体" w:cs="Times New Roman"/>
                <w:color w:val="000000" w:themeColor="text1"/>
                <w:sz w:val="24"/>
                <w:szCs w:val="24"/>
                <w:u w:val="single"/>
                <w14:textFill>
                  <w14:solidFill>
                    <w14:schemeClr w14:val="tx1"/>
                  </w14:solidFill>
                </w14:textFill>
              </w:rPr>
              <w:t>式中：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2" w:firstLineChars="200"/>
              <w:jc w:val="left"/>
              <w:textAlignment w:val="auto"/>
              <w:rPr>
                <w:rFonts w:hint="default" w:ascii="Times New Roman" w:hAnsi="Times New Roman" w:eastAsia="宋体" w:cs="Times New Roman"/>
                <w:color w:val="000000" w:themeColor="text1"/>
                <w:kern w:val="0"/>
                <w:sz w:val="24"/>
                <w:szCs w:val="24"/>
                <w:u w:val="single"/>
                <w:lang w:eastAsia="en-US"/>
                <w14:textFill>
                  <w14:solidFill>
                    <w14:schemeClr w14:val="tx1"/>
                  </w14:solidFill>
                </w14:textFill>
              </w:rPr>
            </w:pPr>
            <w:r>
              <w:rPr>
                <w:rFonts w:hint="default" w:ascii="Times New Roman" w:hAnsi="Times New Roman" w:eastAsia="Times New Roman" w:cs="Times New Roman"/>
                <w:i/>
                <w:color w:val="000000" w:themeColor="text1"/>
                <w:spacing w:val="-7"/>
                <w:kern w:val="0"/>
                <w:position w:val="18"/>
                <w:sz w:val="24"/>
                <w:szCs w:val="24"/>
                <w:u w:val="single"/>
                <w:lang w:eastAsia="en-US"/>
                <w14:textFill>
                  <w14:solidFill>
                    <w14:schemeClr w14:val="tx1"/>
                  </w14:solidFill>
                </w14:textFill>
              </w:rPr>
              <w:t>L</w:t>
            </w:r>
            <w:r>
              <w:rPr>
                <w:rFonts w:hint="default" w:ascii="Times New Roman" w:hAnsi="Times New Roman" w:eastAsia="Times New Roman" w:cs="Times New Roman"/>
                <w:i/>
                <w:color w:val="000000" w:themeColor="text1"/>
                <w:spacing w:val="-7"/>
                <w:kern w:val="0"/>
                <w:position w:val="11"/>
                <w:sz w:val="24"/>
                <w:szCs w:val="24"/>
                <w:u w:val="single"/>
                <w:lang w:eastAsia="en-US"/>
                <w14:textFill>
                  <w14:solidFill>
                    <w14:schemeClr w14:val="tx1"/>
                  </w14:solidFill>
                </w14:textFill>
              </w:rPr>
              <w:t>p</w:t>
            </w:r>
            <w:r>
              <w:rPr>
                <w:rFonts w:hint="default" w:ascii="Times New Roman" w:hAnsi="Times New Roman" w:eastAsia="Times New Roman" w:cs="Times New Roman"/>
                <w:i/>
                <w:color w:val="000000" w:themeColor="text1"/>
                <w:spacing w:val="-7"/>
                <w:kern w:val="0"/>
                <w:position w:val="6"/>
                <w:sz w:val="24"/>
                <w:szCs w:val="24"/>
                <w:u w:val="single"/>
                <w:lang w:eastAsia="en-US"/>
                <w14:textFill>
                  <w14:solidFill>
                    <w14:schemeClr w14:val="tx1"/>
                  </w14:solidFill>
                </w14:textFill>
              </w:rPr>
              <w:t xml:space="preserve">i </w:t>
            </w:r>
            <w:r>
              <w:rPr>
                <w:rFonts w:hint="default" w:ascii="Times New Roman" w:hAnsi="Times New Roman" w:eastAsia="Times New Roman" w:cs="Times New Roman"/>
                <w:color w:val="000000" w:themeColor="text1"/>
                <w:kern w:val="0"/>
                <w:position w:val="18"/>
                <w:sz w:val="24"/>
                <w:szCs w:val="24"/>
                <w:u w:val="single"/>
                <w:lang w:eastAsia="en-US"/>
                <w14:textFill>
                  <w14:solidFill>
                    <w14:schemeClr w14:val="tx1"/>
                  </w14:solidFill>
                </w14:textFill>
              </w:rPr>
              <w:t>(</w:t>
            </w:r>
            <w:r>
              <w:rPr>
                <w:rFonts w:hint="default" w:ascii="Times New Roman" w:hAnsi="Times New Roman" w:eastAsia="Times New Roman" w:cs="Times New Roman"/>
                <w:i/>
                <w:color w:val="000000" w:themeColor="text1"/>
                <w:kern w:val="0"/>
                <w:position w:val="18"/>
                <w:sz w:val="24"/>
                <w:szCs w:val="24"/>
                <w:u w:val="single"/>
                <w:lang w:eastAsia="en-US"/>
                <w14:textFill>
                  <w14:solidFill>
                    <w14:schemeClr w14:val="tx1"/>
                  </w14:solidFill>
                </w14:textFill>
              </w:rPr>
              <w:t>r</w:t>
            </w:r>
            <w:r>
              <w:rPr>
                <w:rFonts w:hint="default" w:ascii="Times New Roman" w:hAnsi="Times New Roman" w:eastAsia="Times New Roman" w:cs="Times New Roman"/>
                <w:color w:val="000000" w:themeColor="text1"/>
                <w:kern w:val="0"/>
                <w:position w:val="18"/>
                <w:sz w:val="24"/>
                <w:szCs w:val="24"/>
                <w:u w:val="single"/>
                <w:lang w:eastAsia="en-US"/>
                <w14:textFill>
                  <w14:solidFill>
                    <w14:schemeClr w14:val="tx1"/>
                  </w14:solidFill>
                </w14:textFill>
              </w:rPr>
              <w:t>)</w:t>
            </w:r>
            <w:r>
              <w:rPr>
                <w:rFonts w:hint="default" w:ascii="Times New Roman" w:hAnsi="Times New Roman" w:eastAsia="Times New Roman" w:cs="Times New Roman"/>
                <w:color w:val="000000" w:themeColor="text1"/>
                <w:kern w:val="0"/>
                <w:sz w:val="24"/>
                <w:szCs w:val="24"/>
                <w:u w:val="single"/>
                <w:lang w:eastAsia="en-US"/>
                <w14:textFill>
                  <w14:solidFill>
                    <w14:schemeClr w14:val="tx1"/>
                  </w14:solidFill>
                </w14:textFill>
              </w:rPr>
              <w:t>——</w:t>
            </w:r>
            <w:r>
              <w:rPr>
                <w:rFonts w:hint="default" w:ascii="Times New Roman" w:hAnsi="Times New Roman" w:eastAsia="宋体" w:cs="Times New Roman"/>
                <w:color w:val="000000" w:themeColor="text1"/>
                <w:kern w:val="0"/>
                <w:sz w:val="24"/>
                <w:szCs w:val="24"/>
                <w:u w:val="single"/>
                <w:lang w:eastAsia="en-US"/>
                <w14:textFill>
                  <w14:solidFill>
                    <w14:schemeClr w14:val="tx1"/>
                  </w14:solidFill>
                </w14:textFill>
              </w:rPr>
              <w:t>预测点（</w:t>
            </w:r>
            <w:r>
              <w:rPr>
                <w:rFonts w:hint="default" w:ascii="Times New Roman" w:hAnsi="Times New Roman" w:eastAsia="Times New Roman" w:cs="Times New Roman"/>
                <w:color w:val="000000" w:themeColor="text1"/>
                <w:kern w:val="0"/>
                <w:sz w:val="24"/>
                <w:szCs w:val="24"/>
                <w:u w:val="single"/>
                <w:lang w:eastAsia="en-US"/>
                <w14:textFill>
                  <w14:solidFill>
                    <w14:schemeClr w14:val="tx1"/>
                  </w14:solidFill>
                </w14:textFill>
              </w:rPr>
              <w:t>r</w:t>
            </w:r>
            <w:r>
              <w:rPr>
                <w:rFonts w:hint="default" w:ascii="Times New Roman" w:hAnsi="Times New Roman" w:eastAsia="宋体" w:cs="Times New Roman"/>
                <w:color w:val="000000" w:themeColor="text1"/>
                <w:kern w:val="0"/>
                <w:sz w:val="24"/>
                <w:szCs w:val="24"/>
                <w:u w:val="single"/>
                <w:lang w:eastAsia="en-US"/>
                <w14:textFill>
                  <w14:solidFill>
                    <w14:schemeClr w14:val="tx1"/>
                  </w14:solidFill>
                </w14:textFill>
              </w:rPr>
              <w:t>）处，第</w:t>
            </w:r>
            <w:r>
              <w:rPr>
                <w:rFonts w:hint="default" w:ascii="Times New Roman" w:hAnsi="Times New Roman" w:eastAsia="宋体" w:cs="Times New Roman"/>
                <w:color w:val="000000" w:themeColor="text1"/>
                <w:spacing w:val="-79"/>
                <w:kern w:val="0"/>
                <w:sz w:val="24"/>
                <w:szCs w:val="24"/>
                <w:u w:val="single"/>
                <w:lang w:eastAsia="en-US"/>
                <w14:textFill>
                  <w14:solidFill>
                    <w14:schemeClr w14:val="tx1"/>
                  </w14:solidFill>
                </w14:textFill>
              </w:rPr>
              <w:t xml:space="preserve"> </w:t>
            </w:r>
            <w:r>
              <w:rPr>
                <w:rFonts w:hint="default" w:ascii="Times New Roman" w:hAnsi="Times New Roman" w:eastAsia="Times New Roman" w:cs="Times New Roman"/>
                <w:color w:val="000000" w:themeColor="text1"/>
                <w:kern w:val="0"/>
                <w:sz w:val="24"/>
                <w:szCs w:val="24"/>
                <w:u w:val="single"/>
                <w:lang w:eastAsia="en-US"/>
                <w14:textFill>
                  <w14:solidFill>
                    <w14:schemeClr w14:val="tx1"/>
                  </w14:solidFill>
                </w14:textFill>
              </w:rPr>
              <w:t xml:space="preserve">i </w:t>
            </w:r>
            <w:r>
              <w:rPr>
                <w:rFonts w:hint="default" w:ascii="Times New Roman" w:hAnsi="Times New Roman" w:eastAsia="宋体" w:cs="Times New Roman"/>
                <w:color w:val="000000" w:themeColor="text1"/>
                <w:kern w:val="0"/>
                <w:sz w:val="24"/>
                <w:szCs w:val="24"/>
                <w:u w:val="single"/>
                <w:lang w:eastAsia="en-US"/>
                <w14:textFill>
                  <w14:solidFill>
                    <w14:schemeClr w14:val="tx1"/>
                  </w14:solidFill>
                </w14:textFill>
              </w:rPr>
              <w:t>倍频带声压级，</w:t>
            </w:r>
            <w:r>
              <w:rPr>
                <w:rFonts w:hint="default" w:ascii="Times New Roman" w:hAnsi="Times New Roman" w:eastAsia="Times New Roman" w:cs="Times New Roman"/>
                <w:color w:val="000000" w:themeColor="text1"/>
                <w:kern w:val="0"/>
                <w:sz w:val="24"/>
                <w:szCs w:val="24"/>
                <w:u w:val="single"/>
                <w:lang w:eastAsia="en-US"/>
                <w14:textFill>
                  <w14:solidFill>
                    <w14:schemeClr w14:val="tx1"/>
                  </w14:solidFill>
                </w14:textFill>
              </w:rPr>
              <w:t>dB</w:t>
            </w:r>
            <w:r>
              <w:rPr>
                <w:rFonts w:hint="default" w:ascii="Times New Roman" w:hAnsi="Times New Roman" w:eastAsia="宋体" w:cs="Times New Roman"/>
                <w:color w:val="000000" w:themeColor="text1"/>
                <w:kern w:val="0"/>
                <w:sz w:val="24"/>
                <w:szCs w:val="24"/>
                <w:u w:val="single"/>
                <w:lang w:eastAsia="en-US"/>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pPr>
            <w:r>
              <w:rPr>
                <w:rFonts w:hint="default" w:ascii="Times New Roman" w:hAnsi="Times New Roman" w:eastAsia="Symbol" w:cs="Times New Roman"/>
                <w:color w:val="000000" w:themeColor="text1"/>
                <w:position w:val="9"/>
                <w:sz w:val="24"/>
                <w:szCs w:val="24"/>
                <w:u w:val="single"/>
                <w:lang w:val="en-US" w:eastAsia="en-US" w:bidi="ar-SA"/>
                <w14:textFill>
                  <w14:solidFill>
                    <w14:schemeClr w14:val="tx1"/>
                  </w14:solidFill>
                </w14:textFill>
              </w:rPr>
              <w:t></w:t>
            </w:r>
            <w:r>
              <w:rPr>
                <w:rFonts w:hint="default" w:ascii="Times New Roman" w:hAnsi="Times New Roman" w:eastAsia="Times New Roman" w:cs="Times New Roman"/>
                <w:i/>
                <w:color w:val="000000" w:themeColor="text1"/>
                <w:position w:val="9"/>
                <w:sz w:val="24"/>
                <w:szCs w:val="24"/>
                <w:u w:val="single"/>
                <w:lang w:val="en-US" w:eastAsia="en-US" w:bidi="ar-SA"/>
                <w14:textFill>
                  <w14:solidFill>
                    <w14:schemeClr w14:val="tx1"/>
                  </w14:solidFill>
                </w14:textFill>
              </w:rPr>
              <w:t>L</w:t>
            </w:r>
            <w:r>
              <w:rPr>
                <w:rFonts w:hint="default" w:ascii="Times New Roman" w:hAnsi="Times New Roman" w:eastAsia="Times New Roman" w:cs="Times New Roman"/>
                <w:i/>
                <w:color w:val="000000" w:themeColor="text1"/>
                <w:position w:val="5"/>
                <w:sz w:val="24"/>
                <w:szCs w:val="24"/>
                <w:u w:val="single"/>
                <w:lang w:val="en-US" w:eastAsia="en-US" w:bidi="ar-SA"/>
                <w14:textFill>
                  <w14:solidFill>
                    <w14:schemeClr w14:val="tx1"/>
                  </w14:solidFill>
                </w14:textFill>
              </w:rPr>
              <w:t xml:space="preserve">i </w:t>
            </w:r>
            <w:r>
              <w:rPr>
                <w:rFonts w:hint="default" w:ascii="Times New Roman" w:hAnsi="Times New Roman" w:eastAsia="Times New Roman" w:cs="Times New Roman"/>
                <w:color w:val="000000" w:themeColor="text1"/>
                <w:sz w:val="24"/>
                <w:szCs w:val="24"/>
                <w:u w:val="single"/>
                <w:lang w:val="en-US" w:eastAsia="en-US" w:bidi="ar-SA"/>
                <w14:textFill>
                  <w14:solidFill>
                    <w14:schemeClr w14:val="tx1"/>
                  </w14:solidFill>
                </w14:textFill>
              </w:rPr>
              <w:t xml:space="preserve">——i </w:t>
            </w:r>
            <w:r>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t xml:space="preserve">倍频带 </w:t>
            </w:r>
            <w:r>
              <w:rPr>
                <w:rFonts w:hint="default" w:ascii="Times New Roman" w:hAnsi="Times New Roman" w:eastAsia="Times New Roman" w:cs="Times New Roman"/>
                <w:color w:val="000000" w:themeColor="text1"/>
                <w:sz w:val="24"/>
                <w:szCs w:val="24"/>
                <w:u w:val="single"/>
                <w:lang w:val="en-US" w:eastAsia="en-US" w:bidi="ar-SA"/>
                <w14:textFill>
                  <w14:solidFill>
                    <w14:schemeClr w14:val="tx1"/>
                  </w14:solidFill>
                </w14:textFill>
              </w:rPr>
              <w:t xml:space="preserve">A </w:t>
            </w:r>
            <w:r>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t>计权网络修正值，</w:t>
            </w:r>
            <w:r>
              <w:rPr>
                <w:rFonts w:hint="default" w:ascii="Times New Roman" w:hAnsi="Times New Roman" w:eastAsia="Times New Roman" w:cs="Times New Roman"/>
                <w:color w:val="000000" w:themeColor="text1"/>
                <w:sz w:val="24"/>
                <w:szCs w:val="24"/>
                <w:u w:val="single"/>
                <w:lang w:val="en-US" w:eastAsia="en-US" w:bidi="ar-SA"/>
                <w14:textFill>
                  <w14:solidFill>
                    <w14:schemeClr w14:val="tx1"/>
                  </w14:solidFill>
                </w14:textFill>
              </w:rPr>
              <w:t>dB</w:t>
            </w:r>
            <w:r>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68" w:firstLineChars="200"/>
              <w:jc w:val="left"/>
              <w:textAlignment w:val="auto"/>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pPr>
            <w:r>
              <w:rPr>
                <w:rFonts w:hint="default" w:ascii="Times New Roman" w:hAnsi="Times New Roman" w:eastAsia="宋体" w:cs="Times New Roman"/>
                <w:color w:val="000000" w:themeColor="text1"/>
                <w:spacing w:val="-3"/>
                <w:sz w:val="24"/>
                <w:szCs w:val="24"/>
                <w:u w:val="single"/>
                <w:lang w:val="en-US" w:eastAsia="en-US" w:bidi="ar-SA"/>
                <w14:textFill>
                  <w14:solidFill>
                    <w14:schemeClr w14:val="tx1"/>
                  </w14:solidFill>
                </w14:textFill>
              </w:rPr>
              <w:t>在不能取得声源倍频带声功率级或倍频带声压，只能获得</w:t>
            </w:r>
            <w:r>
              <w:rPr>
                <w:rFonts w:hint="default" w:ascii="Times New Roman" w:hAnsi="Times New Roman" w:eastAsia="宋体" w:cs="Times New Roman"/>
                <w:color w:val="000000" w:themeColor="text1"/>
                <w:spacing w:val="-52"/>
                <w:sz w:val="24"/>
                <w:szCs w:val="24"/>
                <w:u w:val="single"/>
                <w:lang w:val="en-US" w:eastAsia="en-US" w:bidi="ar-SA"/>
                <w14:textFill>
                  <w14:solidFill>
                    <w14:schemeClr w14:val="tx1"/>
                  </w14:solidFill>
                </w14:textFill>
              </w:rPr>
              <w:t xml:space="preserve"> </w:t>
            </w:r>
            <w:r>
              <w:rPr>
                <w:rFonts w:hint="default" w:ascii="Times New Roman" w:hAnsi="Times New Roman" w:eastAsia="Times New Roman" w:cs="Times New Roman"/>
                <w:color w:val="000000" w:themeColor="text1"/>
                <w:sz w:val="24"/>
                <w:szCs w:val="24"/>
                <w:u w:val="single"/>
                <w:lang w:val="en-US" w:eastAsia="en-US" w:bidi="ar-SA"/>
                <w14:textFill>
                  <w14:solidFill>
                    <w14:schemeClr w14:val="tx1"/>
                  </w14:solidFill>
                </w14:textFill>
              </w:rPr>
              <w:t xml:space="preserve">A </w:t>
            </w:r>
            <w:r>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t>声功率级或某点的</w:t>
            </w:r>
            <w:r>
              <w:rPr>
                <w:rFonts w:hint="default" w:ascii="Times New Roman" w:hAnsi="Times New Roman" w:eastAsia="宋体" w:cs="Times New Roman"/>
                <w:color w:val="000000" w:themeColor="text1"/>
                <w:spacing w:val="-62"/>
                <w:sz w:val="24"/>
                <w:szCs w:val="24"/>
                <w:u w:val="single"/>
                <w:lang w:val="en-US" w:eastAsia="en-US" w:bidi="ar-SA"/>
                <w14:textFill>
                  <w14:solidFill>
                    <w14:schemeClr w14:val="tx1"/>
                  </w14:solidFill>
                </w14:textFill>
              </w:rPr>
              <w:t xml:space="preserve"> </w:t>
            </w:r>
            <w:r>
              <w:rPr>
                <w:rFonts w:hint="default" w:ascii="Times New Roman" w:hAnsi="Times New Roman" w:eastAsia="Times New Roman" w:cs="Times New Roman"/>
                <w:color w:val="000000" w:themeColor="text1"/>
                <w:sz w:val="24"/>
                <w:szCs w:val="24"/>
                <w:u w:val="single"/>
                <w:lang w:val="en-US" w:eastAsia="en-US" w:bidi="ar-SA"/>
                <w14:textFill>
                  <w14:solidFill>
                    <w14:schemeClr w14:val="tx1"/>
                  </w14:solidFill>
                </w14:textFill>
              </w:rPr>
              <w:t xml:space="preserve">A </w:t>
            </w:r>
            <w:r>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t>声级时，按如下公式近似计算；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drawing>
                <wp:inline distT="0" distB="0" distL="114300" distR="114300">
                  <wp:extent cx="2514600" cy="324485"/>
                  <wp:effectExtent l="0" t="0" r="0" b="1841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0"/>
                          <a:stretch>
                            <a:fillRect/>
                          </a:stretch>
                        </pic:blipFill>
                        <pic:spPr>
                          <a:xfrm>
                            <a:off x="0" y="0"/>
                            <a:ext cx="2514600" cy="32448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pPr>
            <w:r>
              <w:rPr>
                <w:rFonts w:hint="default" w:ascii="Times New Roman" w:hAnsi="Times New Roman" w:eastAsia="Times New Roman" w:cs="Times New Roman"/>
                <w:color w:val="000000" w:themeColor="text1"/>
                <w:sz w:val="24"/>
                <w:szCs w:val="24"/>
                <w:u w:val="single"/>
                <w:lang w:val="en-US" w:eastAsia="en-US" w:bidi="ar-SA"/>
                <w14:textFill>
                  <w14:solidFill>
                    <w14:schemeClr w14:val="tx1"/>
                  </w14:solidFill>
                </w14:textFill>
              </w:rPr>
              <w:t>A</w:t>
            </w:r>
            <w:r>
              <w:rPr>
                <w:rFonts w:hint="default" w:ascii="Times New Roman" w:hAnsi="Times New Roman" w:eastAsia="Times New Roman" w:cs="Times New Roman"/>
                <w:color w:val="000000" w:themeColor="text1"/>
                <w:spacing w:val="-2"/>
                <w:sz w:val="24"/>
                <w:szCs w:val="24"/>
                <w:u w:val="single"/>
                <w:lang w:val="en-US" w:eastAsia="en-US" w:bidi="ar-SA"/>
                <w14:textFill>
                  <w14:solidFill>
                    <w14:schemeClr w14:val="tx1"/>
                  </w14:solidFill>
                </w14:textFill>
              </w:rPr>
              <w:t xml:space="preserve"> </w:t>
            </w:r>
            <w:r>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t>可选择对</w:t>
            </w:r>
            <w:r>
              <w:rPr>
                <w:rFonts w:hint="default" w:ascii="Times New Roman" w:hAnsi="Times New Roman" w:eastAsia="宋体" w:cs="Times New Roman"/>
                <w:color w:val="000000" w:themeColor="text1"/>
                <w:spacing w:val="-61"/>
                <w:sz w:val="24"/>
                <w:szCs w:val="24"/>
                <w:u w:val="single"/>
                <w:lang w:val="en-US" w:eastAsia="en-US" w:bidi="ar-SA"/>
                <w14:textFill>
                  <w14:solidFill>
                    <w14:schemeClr w14:val="tx1"/>
                  </w14:solidFill>
                </w14:textFill>
              </w:rPr>
              <w:t xml:space="preserve"> </w:t>
            </w:r>
            <w:r>
              <w:rPr>
                <w:rFonts w:hint="default" w:ascii="Times New Roman" w:hAnsi="Times New Roman" w:eastAsia="Times New Roman" w:cs="Times New Roman"/>
                <w:color w:val="000000" w:themeColor="text1"/>
                <w:sz w:val="24"/>
                <w:szCs w:val="24"/>
                <w:u w:val="single"/>
                <w:lang w:val="en-US" w:eastAsia="en-US" w:bidi="ar-SA"/>
                <w14:textFill>
                  <w14:solidFill>
                    <w14:schemeClr w14:val="tx1"/>
                  </w14:solidFill>
                </w14:textFill>
              </w:rPr>
              <w:t>A</w:t>
            </w:r>
            <w:r>
              <w:rPr>
                <w:rFonts w:hint="default" w:ascii="Times New Roman" w:hAnsi="Times New Roman" w:eastAsia="Times New Roman" w:cs="Times New Roman"/>
                <w:color w:val="000000" w:themeColor="text1"/>
                <w:spacing w:val="-2"/>
                <w:sz w:val="24"/>
                <w:szCs w:val="24"/>
                <w:u w:val="single"/>
                <w:lang w:val="en-US" w:eastAsia="en-US" w:bidi="ar-SA"/>
                <w14:textFill>
                  <w14:solidFill>
                    <w14:schemeClr w14:val="tx1"/>
                  </w14:solidFill>
                </w14:textFill>
              </w:rPr>
              <w:t xml:space="preserve"> </w:t>
            </w:r>
            <w:r>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t>声级影响最大的倍频带计算，一般可选中心频率为</w:t>
            </w:r>
            <w:r>
              <w:rPr>
                <w:rFonts w:hint="default" w:ascii="Times New Roman" w:hAnsi="Times New Roman" w:eastAsia="Times New Roman" w:cs="Times New Roman"/>
                <w:color w:val="000000" w:themeColor="text1"/>
                <w:sz w:val="24"/>
                <w:szCs w:val="24"/>
                <w:u w:val="single"/>
                <w:lang w:val="en-US" w:eastAsia="en-US" w:bidi="ar-SA"/>
                <w14:textFill>
                  <w14:solidFill>
                    <w14:schemeClr w14:val="tx1"/>
                  </w14:solidFill>
                </w14:textFill>
              </w:rPr>
              <w:t>500HZ</w:t>
            </w:r>
            <w:r>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t>的倍频带作估算。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pPr>
            <w:r>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t>③各种因素引起的衰减量计算</w:t>
            </w:r>
          </w:p>
          <w:p>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pPr>
            <w:r>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t>几何发散衰减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Symbol" w:cs="Times New Roman"/>
                <w:color w:val="000000" w:themeColor="text1"/>
                <w:spacing w:val="0"/>
                <w:kern w:val="0"/>
                <w:sz w:val="24"/>
                <w:szCs w:val="24"/>
                <w:u w:val="single"/>
                <w:lang w:eastAsia="en-US"/>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1123950" cy="247015"/>
                  <wp:effectExtent l="0" t="0" r="0" b="63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1"/>
                          <a:stretch>
                            <a:fillRect/>
                          </a:stretch>
                        </pic:blipFill>
                        <pic:spPr>
                          <a:xfrm>
                            <a:off x="0" y="0"/>
                            <a:ext cx="1123950" cy="247015"/>
                          </a:xfrm>
                          <a:prstGeom prst="rect">
                            <a:avLst/>
                          </a:prstGeom>
                          <a:noFill/>
                          <a:ln>
                            <a:noFill/>
                          </a:ln>
                        </pic:spPr>
                      </pic:pic>
                    </a:graphicData>
                  </a:graphic>
                </wp:inline>
              </w:drawing>
            </w:r>
          </w:p>
          <w:p>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t>空气吸收引起的衰减量：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cs="Times New Roman"/>
                <w:color w:val="000000" w:themeColor="text1"/>
                <w:u w:val="single"/>
                <w:lang w:val="en-US" w:eastAsia="zh-CN"/>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drawing>
                <wp:inline distT="0" distB="0" distL="114300" distR="114300">
                  <wp:extent cx="1142365" cy="427355"/>
                  <wp:effectExtent l="0" t="0" r="635" b="1079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2"/>
                          <a:stretch>
                            <a:fillRect/>
                          </a:stretch>
                        </pic:blipFill>
                        <pic:spPr>
                          <a:xfrm>
                            <a:off x="0" y="0"/>
                            <a:ext cx="1142365" cy="42735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default" w:ascii="Times New Roman" w:hAnsi="Times New Roman" w:cs="Times New Roman"/>
                <w:color w:val="000000" w:themeColor="text1"/>
                <w:sz w:val="24"/>
                <w:szCs w:val="32"/>
                <w:u w:val="single"/>
                <w:lang w:val="en-US" w:eastAsia="zh-CN"/>
                <w14:textFill>
                  <w14:solidFill>
                    <w14:schemeClr w14:val="tx1"/>
                  </w14:solidFill>
                </w14:textFill>
              </w:rPr>
              <w:t>式中：a——空气吸收系数，dB/km。</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default" w:ascii="Times New Roman" w:hAnsi="Times New Roman" w:cs="Times New Roman"/>
                <w:color w:val="000000" w:themeColor="text1"/>
                <w:sz w:val="24"/>
                <w:szCs w:val="32"/>
                <w:u w:val="single"/>
                <w:lang w:val="en-US" w:eastAsia="zh-CN"/>
                <w14:textFill>
                  <w14:solidFill>
                    <w14:schemeClr w14:val="tx1"/>
                  </w14:solidFill>
                </w14:textFill>
              </w:rPr>
              <w:t>c. 地面效应引起的衰减量：</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cs="Times New Roman"/>
                <w:color w:val="000000" w:themeColor="text1"/>
                <w:u w:val="single"/>
                <w:lang w:val="en-US" w:eastAsia="zh-CN"/>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drawing>
                <wp:inline distT="0" distB="0" distL="114300" distR="114300">
                  <wp:extent cx="2176780" cy="463550"/>
                  <wp:effectExtent l="0" t="0" r="13970" b="1270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3"/>
                          <a:stretch>
                            <a:fillRect/>
                          </a:stretch>
                        </pic:blipFill>
                        <pic:spPr>
                          <a:xfrm>
                            <a:off x="0" y="0"/>
                            <a:ext cx="2176780" cy="4635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default" w:ascii="Times New Roman" w:hAnsi="Times New Roman" w:cs="Times New Roman"/>
                <w:color w:val="000000" w:themeColor="text1"/>
                <w:sz w:val="24"/>
                <w:szCs w:val="32"/>
                <w:u w:val="single"/>
                <w:lang w:val="en-US" w:eastAsia="zh-CN"/>
                <w14:textFill>
                  <w14:solidFill>
                    <w14:schemeClr w14:val="tx1"/>
                  </w14:solidFill>
                </w14:textFill>
              </w:rPr>
              <w:t>式中：</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default" w:ascii="Times New Roman" w:hAnsi="Times New Roman" w:cs="Times New Roman"/>
                <w:color w:val="000000" w:themeColor="text1"/>
                <w:sz w:val="24"/>
                <w:szCs w:val="32"/>
                <w:u w:val="single"/>
                <w:lang w:val="en-US" w:eastAsia="zh-CN"/>
                <w14:textFill>
                  <w14:solidFill>
                    <w14:schemeClr w14:val="tx1"/>
                  </w14:solidFill>
                </w14:textFill>
              </w:rPr>
              <w:t>r——声源到预测点的距离，m；</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default" w:ascii="Times New Roman" w:hAnsi="Times New Roman" w:cs="Times New Roman"/>
                <w:color w:val="000000" w:themeColor="text1"/>
                <w:sz w:val="24"/>
                <w:szCs w:val="32"/>
                <w:u w:val="single"/>
                <w:lang w:val="en-US" w:eastAsia="zh-CN"/>
                <w14:textFill>
                  <w14:solidFill>
                    <w14:schemeClr w14:val="tx1"/>
                  </w14:solidFill>
                </w14:textFill>
              </w:rPr>
              <w:t>h</w:t>
            </w:r>
            <w:r>
              <w:rPr>
                <w:rFonts w:hint="default" w:ascii="Times New Roman" w:hAnsi="Times New Roman" w:cs="Times New Roman"/>
                <w:color w:val="000000" w:themeColor="text1"/>
                <w:sz w:val="24"/>
                <w:szCs w:val="32"/>
                <w:u w:val="single"/>
                <w:vertAlign w:val="subscript"/>
                <w:lang w:val="en-US" w:eastAsia="zh-CN"/>
                <w14:textFill>
                  <w14:solidFill>
                    <w14:schemeClr w14:val="tx1"/>
                  </w14:solidFill>
                </w14:textFill>
              </w:rPr>
              <w:t>m</w:t>
            </w:r>
            <w:r>
              <w:rPr>
                <w:rFonts w:hint="default" w:ascii="Times New Roman" w:hAnsi="Times New Roman" w:cs="Times New Roman"/>
                <w:color w:val="000000" w:themeColor="text1"/>
                <w:sz w:val="24"/>
                <w:szCs w:val="32"/>
                <w:u w:val="single"/>
                <w:lang w:val="en-US" w:eastAsia="zh-CN"/>
                <w14:textFill>
                  <w14:solidFill>
                    <w14:schemeClr w14:val="tx1"/>
                  </w14:solidFill>
                </w14:textFill>
              </w:rPr>
              <w:t xml:space="preserve"> ——传播路径的平均离地高度。</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14:textFill>
                  <w14:solidFill>
                    <w14:schemeClr w14:val="tx1"/>
                  </w14:solidFill>
                </w14:textFill>
              </w:rPr>
              <w:t>④预测点的预测等效声级</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cs="Times New Roman"/>
                <w:color w:val="000000" w:themeColor="text1"/>
                <w:u w:val="single"/>
                <w:lang w:val="en-US" w:eastAsia="zh-CN"/>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drawing>
                <wp:inline distT="0" distB="0" distL="114300" distR="114300">
                  <wp:extent cx="2238375" cy="361950"/>
                  <wp:effectExtent l="0" t="0" r="9525" b="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4"/>
                          <a:stretch>
                            <a:fillRect/>
                          </a:stretch>
                        </pic:blipFill>
                        <pic:spPr>
                          <a:xfrm>
                            <a:off x="0" y="0"/>
                            <a:ext cx="2238375" cy="3619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default" w:ascii="Times New Roman" w:hAnsi="Times New Roman" w:cs="Times New Roman"/>
                <w:color w:val="000000" w:themeColor="text1"/>
                <w:sz w:val="24"/>
                <w:szCs w:val="32"/>
                <w:u w:val="single"/>
                <w:lang w:val="en-US" w:eastAsia="zh-CN"/>
                <w14:textFill>
                  <w14:solidFill>
                    <w14:schemeClr w14:val="tx1"/>
                  </w14:solidFill>
                </w14:textFill>
              </w:rPr>
              <w:t>式中：</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default" w:ascii="Times New Roman" w:hAnsi="Times New Roman" w:cs="Times New Roman"/>
                <w:color w:val="000000" w:themeColor="text1"/>
                <w:sz w:val="24"/>
                <w:szCs w:val="32"/>
                <w:u w:val="single"/>
                <w:lang w:val="en-US" w:eastAsia="zh-CN"/>
                <w14:textFill>
                  <w14:solidFill>
                    <w14:schemeClr w14:val="tx1"/>
                  </w14:solidFill>
                </w14:textFill>
              </w:rPr>
              <w:t>Leqg——建设项目声源在预测点的等效声级贡献值，dB（A）；</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default" w:ascii="Times New Roman" w:hAnsi="Times New Roman" w:cs="Times New Roman"/>
                <w:color w:val="000000" w:themeColor="text1"/>
                <w:sz w:val="24"/>
                <w:szCs w:val="32"/>
                <w:u w:val="single"/>
                <w:lang w:val="en-US" w:eastAsia="zh-CN"/>
                <w14:textFill>
                  <w14:solidFill>
                    <w14:schemeClr w14:val="tx1"/>
                  </w14:solidFill>
                </w14:textFill>
              </w:rPr>
              <w:t>Leqb——预测点的背值，dB（A）；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u w:val="single"/>
                <w14:textFill>
                  <w14:solidFill>
                    <w14:schemeClr w14:val="tx1"/>
                  </w14:solidFill>
                </w14:textFill>
              </w:rPr>
            </w:pPr>
            <w:r>
              <w:rPr>
                <w:rFonts w:hint="default" w:ascii="Times New Roman" w:hAnsi="Times New Roman" w:eastAsia="TimesNewRomanPSMT" w:cs="Times New Roman"/>
                <w:color w:val="000000" w:themeColor="text1"/>
                <w:sz w:val="24"/>
                <w:szCs w:val="24"/>
                <w:u w:val="single"/>
                <w14:textFill>
                  <w14:solidFill>
                    <w14:schemeClr w14:val="tx1"/>
                  </w14:solidFill>
                </w14:textFill>
              </w:rPr>
              <w:t>2</w:t>
            </w:r>
            <w:r>
              <w:rPr>
                <w:rFonts w:hint="default" w:ascii="Times New Roman" w:hAnsi="Times New Roman" w:eastAsia="宋体" w:cs="Times New Roman"/>
                <w:color w:val="000000" w:themeColor="text1"/>
                <w:sz w:val="24"/>
                <w:szCs w:val="24"/>
                <w:u w:val="single"/>
                <w14:textFill>
                  <w14:solidFill>
                    <w14:schemeClr w14:val="tx1"/>
                  </w14:solidFill>
                </w14:textFill>
              </w:rPr>
              <w:t>）多个室外声源噪声贡献值叠加计算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u w:val="single"/>
                <w14:textFill>
                  <w14:solidFill>
                    <w14:schemeClr w14:val="tx1"/>
                  </w14:solidFill>
                </w14:textFill>
              </w:rPr>
            </w:pPr>
            <w:r>
              <w:rPr>
                <w:rFonts w:hint="default" w:ascii="Times New Roman" w:hAnsi="Times New Roman" w:eastAsia="宋体" w:cs="Times New Roman"/>
                <w:color w:val="000000" w:themeColor="text1"/>
                <w:sz w:val="24"/>
                <w:szCs w:val="24"/>
                <w:u w:val="single"/>
                <w14:textFill>
                  <w14:solidFill>
                    <w14:schemeClr w14:val="tx1"/>
                  </w14:solidFill>
                </w14:textFill>
              </w:rPr>
              <w:t>①计算声压级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14:textFill>
                  <w14:solidFill>
                    <w14:schemeClr w14:val="tx1"/>
                  </w14:solidFill>
                </w14:textFill>
              </w:rPr>
              <w:t>设第</w:t>
            </w:r>
            <w:r>
              <w:rPr>
                <w:rFonts w:hint="default" w:ascii="Times New Roman" w:hAnsi="Times New Roman" w:eastAsia="TimesNewRomanPSMT" w:cs="Times New Roman"/>
                <w:color w:val="000000" w:themeColor="text1"/>
                <w:sz w:val="24"/>
                <w:szCs w:val="24"/>
                <w:u w:val="single"/>
                <w14:textFill>
                  <w14:solidFill>
                    <w14:schemeClr w14:val="tx1"/>
                  </w14:solidFill>
                </w14:textFill>
              </w:rPr>
              <w:t xml:space="preserve">i </w:t>
            </w:r>
            <w:r>
              <w:rPr>
                <w:rFonts w:hint="default" w:ascii="Times New Roman" w:hAnsi="Times New Roman" w:eastAsia="宋体" w:cs="Times New Roman"/>
                <w:color w:val="000000" w:themeColor="text1"/>
                <w:sz w:val="24"/>
                <w:szCs w:val="24"/>
                <w:u w:val="single"/>
                <w14:textFill>
                  <w14:solidFill>
                    <w14:schemeClr w14:val="tx1"/>
                  </w14:solidFill>
                </w14:textFill>
              </w:rPr>
              <w:t>个室外声源在预测点产生的</w:t>
            </w:r>
            <w:r>
              <w:rPr>
                <w:rFonts w:hint="default" w:ascii="Times New Roman" w:hAnsi="Times New Roman" w:eastAsia="TimesNewRomanPSMT" w:cs="Times New Roman"/>
                <w:color w:val="000000" w:themeColor="text1"/>
                <w:sz w:val="24"/>
                <w:szCs w:val="24"/>
                <w:u w:val="single"/>
                <w14:textFill>
                  <w14:solidFill>
                    <w14:schemeClr w14:val="tx1"/>
                  </w14:solidFill>
                </w14:textFill>
              </w:rPr>
              <w:t xml:space="preserve">A </w:t>
            </w:r>
            <w:r>
              <w:rPr>
                <w:rFonts w:hint="default" w:ascii="Times New Roman" w:hAnsi="Times New Roman" w:eastAsia="宋体" w:cs="Times New Roman"/>
                <w:color w:val="000000" w:themeColor="text1"/>
                <w:sz w:val="24"/>
                <w:szCs w:val="24"/>
                <w:u w:val="single"/>
                <w14:textFill>
                  <w14:solidFill>
                    <w14:schemeClr w14:val="tx1"/>
                  </w14:solidFill>
                </w14:textFill>
              </w:rPr>
              <w:t>声级为</w:t>
            </w:r>
            <w:r>
              <w:rPr>
                <w:rFonts w:hint="default" w:ascii="Times New Roman" w:hAnsi="Times New Roman" w:eastAsia="TimesNewRomanPS-ItalicMT" w:cs="Times New Roman"/>
                <w:i/>
                <w:color w:val="000000" w:themeColor="text1"/>
                <w:sz w:val="24"/>
                <w:szCs w:val="24"/>
                <w:u w:val="single"/>
                <w14:textFill>
                  <w14:solidFill>
                    <w14:schemeClr w14:val="tx1"/>
                  </w14:solidFill>
                </w14:textFill>
              </w:rPr>
              <w:t>L</w:t>
            </w:r>
            <w:r>
              <w:rPr>
                <w:rFonts w:hint="default" w:ascii="Times New Roman" w:hAnsi="Times New Roman" w:eastAsia="TimesNewRomanPS-ItalicMT" w:cs="Times New Roman"/>
                <w:i/>
                <w:color w:val="000000" w:themeColor="text1"/>
                <w:sz w:val="16"/>
                <w:szCs w:val="24"/>
                <w:u w:val="single"/>
                <w14:textFill>
                  <w14:solidFill>
                    <w14:schemeClr w14:val="tx1"/>
                  </w14:solidFill>
                </w14:textFill>
              </w:rPr>
              <w:t>Ai</w:t>
            </w:r>
            <w:r>
              <w:rPr>
                <w:rFonts w:hint="default" w:ascii="Times New Roman" w:hAnsi="Times New Roman" w:eastAsia="宋体" w:cs="Times New Roman"/>
                <w:color w:val="000000" w:themeColor="text1"/>
                <w:sz w:val="24"/>
                <w:szCs w:val="24"/>
                <w:u w:val="single"/>
                <w14:textFill>
                  <w14:solidFill>
                    <w14:schemeClr w14:val="tx1"/>
                  </w14:solidFill>
                </w14:textFill>
              </w:rPr>
              <w:t>，在</w:t>
            </w:r>
            <w:r>
              <w:rPr>
                <w:rFonts w:hint="default" w:ascii="Times New Roman" w:hAnsi="Times New Roman" w:eastAsia="TimesNewRomanPSMT" w:cs="Times New Roman"/>
                <w:color w:val="000000" w:themeColor="text1"/>
                <w:sz w:val="24"/>
                <w:szCs w:val="24"/>
                <w:u w:val="single"/>
                <w14:textFill>
                  <w14:solidFill>
                    <w14:schemeClr w14:val="tx1"/>
                  </w14:solidFill>
                </w14:textFill>
              </w:rPr>
              <w:t xml:space="preserve">T </w:t>
            </w:r>
            <w:r>
              <w:rPr>
                <w:rFonts w:hint="default" w:ascii="Times New Roman" w:hAnsi="Times New Roman" w:eastAsia="宋体" w:cs="Times New Roman"/>
                <w:color w:val="000000" w:themeColor="text1"/>
                <w:sz w:val="24"/>
                <w:szCs w:val="24"/>
                <w:u w:val="single"/>
                <w14:textFill>
                  <w14:solidFill>
                    <w14:schemeClr w14:val="tx1"/>
                  </w14:solidFill>
                </w14:textFill>
              </w:rPr>
              <w:t>时间内该声源工作时间为</w:t>
            </w:r>
            <w:r>
              <w:rPr>
                <w:rFonts w:hint="default" w:ascii="Times New Roman" w:hAnsi="Times New Roman" w:eastAsia="TimesNewRomanPS-ItalicMT" w:cs="Times New Roman"/>
                <w:i/>
                <w:color w:val="000000" w:themeColor="text1"/>
                <w:sz w:val="24"/>
                <w:szCs w:val="24"/>
                <w:u w:val="single"/>
                <w14:textFill>
                  <w14:solidFill>
                    <w14:schemeClr w14:val="tx1"/>
                  </w14:solidFill>
                </w14:textFill>
              </w:rPr>
              <w:t>t</w:t>
            </w:r>
            <w:r>
              <w:rPr>
                <w:rFonts w:hint="default" w:ascii="Times New Roman" w:hAnsi="Times New Roman" w:eastAsia="TimesNewRomanPS-ItalicMT" w:cs="Times New Roman"/>
                <w:i/>
                <w:color w:val="000000" w:themeColor="text1"/>
                <w:sz w:val="16"/>
                <w:szCs w:val="24"/>
                <w:u w:val="single"/>
                <w14:textFill>
                  <w14:solidFill>
                    <w14:schemeClr w14:val="tx1"/>
                  </w14:solidFill>
                </w14:textFill>
              </w:rPr>
              <w:t>i</w:t>
            </w:r>
            <w:r>
              <w:rPr>
                <w:rFonts w:hint="default" w:ascii="Times New Roman" w:hAnsi="Times New Roman" w:eastAsia="宋体" w:cs="Times New Roman"/>
                <w:color w:val="000000" w:themeColor="text1"/>
                <w:sz w:val="24"/>
                <w:szCs w:val="24"/>
                <w:u w:val="single"/>
                <w14:textFill>
                  <w14:solidFill>
                    <w14:schemeClr w14:val="tx1"/>
                  </w14:solidFill>
                </w14:textFill>
              </w:rPr>
              <w:t>；第</w:t>
            </w:r>
            <w:r>
              <w:rPr>
                <w:rFonts w:hint="default" w:ascii="Times New Roman" w:hAnsi="Times New Roman" w:eastAsia="TimesNewRomanPSMT" w:cs="Times New Roman"/>
                <w:color w:val="000000" w:themeColor="text1"/>
                <w:sz w:val="24"/>
                <w:szCs w:val="24"/>
                <w:u w:val="single"/>
                <w14:textFill>
                  <w14:solidFill>
                    <w14:schemeClr w14:val="tx1"/>
                  </w14:solidFill>
                </w14:textFill>
              </w:rPr>
              <w:t xml:space="preserve">j </w:t>
            </w:r>
            <w:r>
              <w:rPr>
                <w:rFonts w:hint="default" w:ascii="Times New Roman" w:hAnsi="Times New Roman" w:eastAsia="宋体" w:cs="Times New Roman"/>
                <w:color w:val="000000" w:themeColor="text1"/>
                <w:sz w:val="24"/>
                <w:szCs w:val="24"/>
                <w:u w:val="single"/>
                <w14:textFill>
                  <w14:solidFill>
                    <w14:schemeClr w14:val="tx1"/>
                  </w14:solidFill>
                </w14:textFill>
              </w:rPr>
              <w:t>个等效室外声源在预测点产生的</w:t>
            </w:r>
            <w:r>
              <w:rPr>
                <w:rFonts w:hint="default" w:ascii="Times New Roman" w:hAnsi="Times New Roman" w:eastAsia="TimesNewRomanPSMT" w:cs="Times New Roman"/>
                <w:color w:val="000000" w:themeColor="text1"/>
                <w:sz w:val="24"/>
                <w:szCs w:val="24"/>
                <w:u w:val="single"/>
                <w14:textFill>
                  <w14:solidFill>
                    <w14:schemeClr w14:val="tx1"/>
                  </w14:solidFill>
                </w14:textFill>
              </w:rPr>
              <w:t xml:space="preserve">A </w:t>
            </w:r>
            <w:r>
              <w:rPr>
                <w:rFonts w:hint="default" w:ascii="Times New Roman" w:hAnsi="Times New Roman" w:eastAsia="宋体" w:cs="Times New Roman"/>
                <w:color w:val="000000" w:themeColor="text1"/>
                <w:sz w:val="24"/>
                <w:szCs w:val="24"/>
                <w:u w:val="single"/>
                <w14:textFill>
                  <w14:solidFill>
                    <w14:schemeClr w14:val="tx1"/>
                  </w14:solidFill>
                </w14:textFill>
              </w:rPr>
              <w:t>声级为</w:t>
            </w:r>
            <w:r>
              <w:rPr>
                <w:rFonts w:hint="default" w:ascii="Times New Roman" w:hAnsi="Times New Roman" w:eastAsia="TimesNewRomanPS-ItalicMT" w:cs="Times New Roman"/>
                <w:i/>
                <w:color w:val="000000" w:themeColor="text1"/>
                <w:sz w:val="24"/>
                <w:szCs w:val="24"/>
                <w:u w:val="single"/>
                <w14:textFill>
                  <w14:solidFill>
                    <w14:schemeClr w14:val="tx1"/>
                  </w14:solidFill>
                </w14:textFill>
              </w:rPr>
              <w:t>L</w:t>
            </w:r>
            <w:r>
              <w:rPr>
                <w:rFonts w:hint="default" w:ascii="Times New Roman" w:hAnsi="Times New Roman" w:eastAsia="TimesNewRomanPS-ItalicMT" w:cs="Times New Roman"/>
                <w:i/>
                <w:color w:val="000000" w:themeColor="text1"/>
                <w:sz w:val="16"/>
                <w:szCs w:val="24"/>
                <w:u w:val="single"/>
                <w14:textFill>
                  <w14:solidFill>
                    <w14:schemeClr w14:val="tx1"/>
                  </w14:solidFill>
                </w14:textFill>
              </w:rPr>
              <w:t>A</w:t>
            </w:r>
            <w:r>
              <w:rPr>
                <w:rFonts w:hint="default" w:ascii="Times New Roman" w:hAnsi="Times New Roman" w:eastAsia="宋体" w:cs="Times New Roman"/>
                <w:color w:val="000000" w:themeColor="text1"/>
                <w:sz w:val="13"/>
                <w:szCs w:val="24"/>
                <w:u w:val="single"/>
                <w14:textFill>
                  <w14:solidFill>
                    <w14:schemeClr w14:val="tx1"/>
                  </w14:solidFill>
                </w14:textFill>
              </w:rPr>
              <w:t>，</w:t>
            </w:r>
            <w:r>
              <w:rPr>
                <w:rFonts w:hint="default" w:ascii="Times New Roman" w:hAnsi="Times New Roman" w:eastAsia="TimesNewRomanPS-ItalicMT" w:cs="Times New Roman"/>
                <w:i/>
                <w:color w:val="000000" w:themeColor="text1"/>
                <w:sz w:val="16"/>
                <w:szCs w:val="24"/>
                <w:u w:val="single"/>
                <w14:textFill>
                  <w14:solidFill>
                    <w14:schemeClr w14:val="tx1"/>
                  </w14:solidFill>
                </w14:textFill>
              </w:rPr>
              <w:t>j</w:t>
            </w:r>
            <w:r>
              <w:rPr>
                <w:rFonts w:hint="default" w:ascii="Times New Roman" w:hAnsi="Times New Roman" w:eastAsia="宋体" w:cs="Times New Roman"/>
                <w:color w:val="000000" w:themeColor="text1"/>
                <w:sz w:val="24"/>
                <w:szCs w:val="24"/>
                <w:u w:val="single"/>
                <w14:textFill>
                  <w14:solidFill>
                    <w14:schemeClr w14:val="tx1"/>
                  </w14:solidFill>
                </w14:textFill>
              </w:rPr>
              <w:t>，在</w:t>
            </w:r>
            <w:r>
              <w:rPr>
                <w:rFonts w:hint="default" w:ascii="Times New Roman" w:hAnsi="Times New Roman" w:eastAsia="TimesNewRomanPSMT" w:cs="Times New Roman"/>
                <w:color w:val="000000" w:themeColor="text1"/>
                <w:sz w:val="24"/>
                <w:szCs w:val="24"/>
                <w:u w:val="single"/>
                <w14:textFill>
                  <w14:solidFill>
                    <w14:schemeClr w14:val="tx1"/>
                  </w14:solidFill>
                </w14:textFill>
              </w:rPr>
              <w:t xml:space="preserve">T </w:t>
            </w:r>
            <w:r>
              <w:rPr>
                <w:rFonts w:hint="default" w:ascii="Times New Roman" w:hAnsi="Times New Roman" w:eastAsia="宋体" w:cs="Times New Roman"/>
                <w:color w:val="000000" w:themeColor="text1"/>
                <w:sz w:val="24"/>
                <w:szCs w:val="24"/>
                <w:u w:val="single"/>
                <w14:textFill>
                  <w14:solidFill>
                    <w14:schemeClr w14:val="tx1"/>
                  </w14:solidFill>
                </w14:textFill>
              </w:rPr>
              <w:t>时间内该声源工作时间为</w:t>
            </w:r>
            <w:r>
              <w:rPr>
                <w:rFonts w:hint="default" w:ascii="Times New Roman" w:hAnsi="Times New Roman" w:eastAsia="TimesNewRomanPS-ItalicMT" w:cs="Times New Roman"/>
                <w:i/>
                <w:color w:val="000000" w:themeColor="text1"/>
                <w:sz w:val="24"/>
                <w:szCs w:val="24"/>
                <w:u w:val="single"/>
                <w14:textFill>
                  <w14:solidFill>
                    <w14:schemeClr w14:val="tx1"/>
                  </w14:solidFill>
                </w14:textFill>
              </w:rPr>
              <w:t>t</w:t>
            </w:r>
            <w:r>
              <w:rPr>
                <w:rFonts w:hint="default" w:ascii="Times New Roman" w:hAnsi="Times New Roman" w:eastAsia="TimesNewRomanPS-ItalicMT" w:cs="Times New Roman"/>
                <w:i/>
                <w:color w:val="000000" w:themeColor="text1"/>
                <w:sz w:val="16"/>
                <w:szCs w:val="24"/>
                <w:u w:val="single"/>
                <w14:textFill>
                  <w14:solidFill>
                    <w14:schemeClr w14:val="tx1"/>
                  </w14:solidFill>
                </w14:textFill>
              </w:rPr>
              <w:t>j</w:t>
            </w:r>
            <w:r>
              <w:rPr>
                <w:rFonts w:hint="default" w:ascii="Times New Roman" w:hAnsi="Times New Roman" w:eastAsia="宋体" w:cs="Times New Roman"/>
                <w:color w:val="000000" w:themeColor="text1"/>
                <w:sz w:val="24"/>
                <w:szCs w:val="24"/>
                <w:u w:val="single"/>
                <w14:textFill>
                  <w14:solidFill>
                    <w14:schemeClr w14:val="tx1"/>
                  </w14:solidFill>
                </w14:textFill>
              </w:rPr>
              <w:t>，则预测点的总等效声级为</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cs="Times New Roman"/>
                <w:color w:val="000000" w:themeColor="text1"/>
                <w:u w:val="single"/>
                <w:lang w:val="en-US" w:eastAsia="zh-CN"/>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drawing>
                <wp:inline distT="0" distB="0" distL="114300" distR="114300">
                  <wp:extent cx="2819400" cy="466725"/>
                  <wp:effectExtent l="0" t="0" r="0" b="952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5"/>
                          <a:stretch>
                            <a:fillRect/>
                          </a:stretch>
                        </pic:blipFill>
                        <pic:spPr>
                          <a:xfrm>
                            <a:off x="0" y="0"/>
                            <a:ext cx="2819400" cy="4667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default" w:ascii="Times New Roman" w:hAnsi="Times New Roman" w:cs="Times New Roman"/>
                <w:color w:val="000000" w:themeColor="text1"/>
                <w:sz w:val="24"/>
                <w:szCs w:val="32"/>
                <w:u w:val="single"/>
                <w:lang w:val="en-US" w:eastAsia="zh-CN"/>
                <w14:textFill>
                  <w14:solidFill>
                    <w14:schemeClr w14:val="tx1"/>
                  </w14:solidFill>
                </w14:textFill>
              </w:rPr>
              <w:t>式中：ti—在T 时间内i 声源工作时间，s；</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default" w:ascii="Times New Roman" w:hAnsi="Times New Roman" w:cs="Times New Roman"/>
                <w:color w:val="000000" w:themeColor="text1"/>
                <w:sz w:val="24"/>
                <w:szCs w:val="32"/>
                <w:u w:val="single"/>
                <w:lang w:val="en-US" w:eastAsia="zh-CN"/>
                <w14:textFill>
                  <w14:solidFill>
                    <w14:schemeClr w14:val="tx1"/>
                  </w14:solidFill>
                </w14:textFill>
              </w:rPr>
              <w:t>tj—在T 时间内j 声源工作时间，s；</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default" w:ascii="Times New Roman" w:hAnsi="Times New Roman" w:cs="Times New Roman"/>
                <w:color w:val="000000" w:themeColor="text1"/>
                <w:sz w:val="24"/>
                <w:szCs w:val="32"/>
                <w:u w:val="single"/>
                <w:lang w:val="en-US" w:eastAsia="zh-CN"/>
                <w14:textFill>
                  <w14:solidFill>
                    <w14:schemeClr w14:val="tx1"/>
                  </w14:solidFill>
                </w14:textFill>
              </w:rPr>
              <w:t>T—计算等效声级的时间，h;</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default" w:ascii="Times New Roman" w:hAnsi="Times New Roman" w:cs="Times New Roman"/>
                <w:color w:val="000000" w:themeColor="text1"/>
                <w:sz w:val="24"/>
                <w:szCs w:val="32"/>
                <w:u w:val="single"/>
                <w:lang w:val="en-US" w:eastAsia="zh-CN"/>
                <w14:textFill>
                  <w14:solidFill>
                    <w14:schemeClr w14:val="tx1"/>
                  </w14:solidFill>
                </w14:textFill>
              </w:rPr>
              <w:t>N—室外声源个数，M 等效室外声源个数。</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default" w:ascii="Times New Roman" w:hAnsi="Times New Roman" w:cs="Times New Roman"/>
                <w:color w:val="000000" w:themeColor="text1"/>
                <w:sz w:val="24"/>
                <w:szCs w:val="32"/>
                <w:u w:val="single"/>
                <w:lang w:val="en-US" w:eastAsia="zh-CN"/>
                <w14:textFill>
                  <w14:solidFill>
                    <w14:schemeClr w14:val="tx1"/>
                  </w14:solidFill>
                </w14:textFill>
              </w:rPr>
              <w:t>3）噪声叠加值计算</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cs="Times New Roman"/>
                <w:color w:val="000000" w:themeColor="text1"/>
                <w:u w:val="single"/>
                <w:lang w:val="en-US" w:eastAsia="zh-CN"/>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drawing>
                <wp:inline distT="0" distB="0" distL="114300" distR="114300">
                  <wp:extent cx="2181225" cy="361950"/>
                  <wp:effectExtent l="0" t="0" r="9525"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6"/>
                          <a:stretch>
                            <a:fillRect/>
                          </a:stretch>
                        </pic:blipFill>
                        <pic:spPr>
                          <a:xfrm>
                            <a:off x="0" y="0"/>
                            <a:ext cx="2181225" cy="3619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default" w:ascii="Times New Roman" w:hAnsi="Times New Roman" w:cs="Times New Roman"/>
                <w:color w:val="000000" w:themeColor="text1"/>
                <w:sz w:val="24"/>
                <w:szCs w:val="32"/>
                <w:u w:val="single"/>
                <w:lang w:val="en-US" w:eastAsia="zh-CN"/>
                <w14:textFill>
                  <w14:solidFill>
                    <w14:schemeClr w14:val="tx1"/>
                  </w14:solidFill>
                </w14:textFill>
              </w:rPr>
              <w:t>式中：</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default" w:ascii="Times New Roman" w:hAnsi="Times New Roman" w:cs="Times New Roman"/>
                <w:color w:val="000000" w:themeColor="text1"/>
                <w:sz w:val="24"/>
                <w:szCs w:val="32"/>
                <w:u w:val="single"/>
                <w:lang w:val="en-US" w:eastAsia="zh-CN"/>
                <w14:textFill>
                  <w14:solidFill>
                    <w14:schemeClr w14:val="tx1"/>
                  </w14:solidFill>
                </w14:textFill>
              </w:rPr>
              <w:t>Leqg——建设项目声源在预测点的等效声级贡献值，dB（A）；</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default" w:ascii="Times New Roman" w:hAnsi="Times New Roman" w:cs="Times New Roman"/>
                <w:color w:val="000000" w:themeColor="text1"/>
                <w:sz w:val="24"/>
                <w:szCs w:val="32"/>
                <w:u w:val="single"/>
                <w:lang w:val="en-US" w:eastAsia="zh-CN"/>
                <w14:textFill>
                  <w14:solidFill>
                    <w14:schemeClr w14:val="tx1"/>
                  </w14:solidFill>
                </w14:textFill>
              </w:rPr>
              <w:t>Leqb——预测点的背值，dB（A）。</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default" w:ascii="Times New Roman" w:hAnsi="Times New Roman" w:cs="Times New Roman"/>
                <w:color w:val="000000" w:themeColor="text1"/>
                <w:sz w:val="24"/>
                <w:szCs w:val="32"/>
                <w:u w:val="single"/>
                <w:lang w:val="en-US" w:eastAsia="zh-CN"/>
                <w14:textFill>
                  <w14:solidFill>
                    <w14:schemeClr w14:val="tx1"/>
                  </w14:solidFill>
                </w14:textFill>
              </w:rPr>
              <w:t>（2）主要噪声源</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u w:val="single"/>
                <w:lang w:val="en-US" w:eastAsia="zh-CN"/>
                <w14:textFill>
                  <w14:solidFill>
                    <w14:schemeClr w14:val="tx1"/>
                  </w14:solidFill>
                </w14:textFill>
              </w:rPr>
            </w:pPr>
            <w:r>
              <w:rPr>
                <w:rFonts w:hint="default" w:ascii="Times New Roman" w:hAnsi="Times New Roman" w:cs="Times New Roman"/>
                <w:color w:val="000000" w:themeColor="text1"/>
                <w:sz w:val="24"/>
                <w:szCs w:val="32"/>
                <w:u w:val="single"/>
                <w:lang w:val="en-US" w:eastAsia="zh-CN"/>
                <w14:textFill>
                  <w14:solidFill>
                    <w14:schemeClr w14:val="tx1"/>
                  </w14:solidFill>
                </w14:textFill>
              </w:rPr>
              <w:t>升压站的噪声以中低频为主，本次预测声源按面源建模，考虑到最不利情</w:t>
            </w:r>
            <w:r>
              <w:rPr>
                <w:rFonts w:hint="default" w:ascii="Times New Roman" w:hAnsi="Times New Roman" w:eastAsia="宋体" w:cs="Times New Roman"/>
                <w:color w:val="000000" w:themeColor="text1"/>
                <w:sz w:val="24"/>
                <w:szCs w:val="24"/>
                <w:u w:val="single"/>
                <w14:textFill>
                  <w14:solidFill>
                    <w14:schemeClr w14:val="tx1"/>
                  </w14:solidFill>
                </w14:textFill>
              </w:rPr>
              <w:t>况，不计算空气吸收等衰减</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w:t>
            </w: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变压器的噪声以中低频为主，150MVA的主变压器声压级按</w:t>
            </w:r>
            <w:r>
              <w:rPr>
                <w:rFonts w:hint="default" w:ascii="Times New Roman" w:hAnsi="Times New Roman" w:cs="Times New Roman"/>
                <w:color w:val="000000" w:themeColor="text1"/>
                <w:spacing w:val="6"/>
                <w:kern w:val="2"/>
                <w:sz w:val="24"/>
                <w:szCs w:val="24"/>
                <w:highlight w:val="none"/>
                <w:u w:val="single"/>
                <w:lang w:val="en-US" w:eastAsia="zh-CN" w:bidi="ar-SA"/>
                <w14:textFill>
                  <w14:solidFill>
                    <w14:schemeClr w14:val="tx1"/>
                  </w14:solidFill>
                </w14:textFill>
              </w:rPr>
              <w:t>70</w:t>
            </w: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dB（A）计，</w:t>
            </w:r>
            <w:r>
              <w:rPr>
                <w:rFonts w:hint="default" w:ascii="Times New Roman" w:hAnsi="Times New Roman" w:cs="Times New Roman"/>
                <w:color w:val="000000" w:themeColor="text1"/>
                <w:spacing w:val="6"/>
                <w:kern w:val="2"/>
                <w:sz w:val="24"/>
                <w:szCs w:val="24"/>
                <w:highlight w:val="none"/>
                <w:u w:val="single"/>
                <w:lang w:val="en-US" w:eastAsia="zh-CN" w:bidi="ar-SA"/>
                <w14:textFill>
                  <w14:solidFill>
                    <w14:schemeClr w14:val="tx1"/>
                  </w14:solidFill>
                </w14:textFill>
              </w:rPr>
              <w:t>35KV备用变压器</w:t>
            </w: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声压级按</w:t>
            </w:r>
            <w:r>
              <w:rPr>
                <w:rFonts w:hint="default" w:ascii="Times New Roman" w:hAnsi="Times New Roman" w:cs="Times New Roman"/>
                <w:color w:val="000000" w:themeColor="text1"/>
                <w:spacing w:val="6"/>
                <w:kern w:val="2"/>
                <w:sz w:val="24"/>
                <w:szCs w:val="24"/>
                <w:highlight w:val="none"/>
                <w:u w:val="single"/>
                <w:lang w:val="en-US" w:eastAsia="zh-CN" w:bidi="ar-SA"/>
                <w14:textFill>
                  <w14:solidFill>
                    <w14:schemeClr w14:val="tx1"/>
                  </w14:solidFill>
                </w14:textFill>
              </w:rPr>
              <w:t>65</w:t>
            </w: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dB（A）计</w:t>
            </w:r>
            <w:r>
              <w:rPr>
                <w:rFonts w:hint="default" w:ascii="Times New Roman" w:hAnsi="Times New Roman" w:cs="Times New Roman"/>
                <w:color w:val="000000" w:themeColor="text1"/>
                <w:spacing w:val="6"/>
                <w:kern w:val="2"/>
                <w:sz w:val="24"/>
                <w:szCs w:val="24"/>
                <w:highlight w:val="none"/>
                <w:u w:val="singl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2"/>
                <w:sz w:val="24"/>
                <w:szCs w:val="24"/>
                <w:highlight w:val="none"/>
                <w:u w:val="single"/>
                <w:shd w:val="clear" w:color="auto" w:fill="auto"/>
                <w:lang w:val="en-US" w:eastAsia="zh-CN" w:bidi="ar-SA"/>
                <w14:textFill>
                  <w14:solidFill>
                    <w14:schemeClr w14:val="tx1"/>
                  </w14:solidFill>
                </w14:textFill>
              </w:rPr>
              <w:t>SVG无功补偿装置声压级按60</w:t>
            </w: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dB（A）取值。预测结果以</w:t>
            </w:r>
            <w:r>
              <w:rPr>
                <w:rFonts w:hint="default" w:ascii="Times New Roman" w:hAnsi="Times New Roman" w:cs="Times New Roman"/>
                <w:color w:val="000000" w:themeColor="text1"/>
                <w:spacing w:val="6"/>
                <w:kern w:val="2"/>
                <w:sz w:val="24"/>
                <w:szCs w:val="24"/>
                <w:highlight w:val="none"/>
                <w:u w:val="single"/>
                <w:lang w:val="en-US" w:eastAsia="zh-CN" w:bidi="ar-SA"/>
                <w14:textFill>
                  <w14:solidFill>
                    <w14:schemeClr w14:val="tx1"/>
                  </w14:solidFill>
                </w14:textFill>
              </w:rPr>
              <w:t>升压站</w:t>
            </w: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产生的厂界噪声贡献值作为厂界噪声的评价量。</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default" w:ascii="Times New Roman" w:hAnsi="Times New Roman" w:cs="Times New Roman"/>
                <w:color w:val="000000" w:themeColor="text1"/>
                <w:sz w:val="24"/>
                <w:szCs w:val="32"/>
                <w:u w:val="single"/>
                <w:lang w:val="en-US" w:eastAsia="zh-CN"/>
                <w14:textFill>
                  <w14:solidFill>
                    <w14:schemeClr w14:val="tx1"/>
                  </w14:solidFill>
                </w14:textFill>
              </w:rPr>
              <w:t>本工程声源详细参数见表4-</w:t>
            </w:r>
            <w:r>
              <w:rPr>
                <w:rFonts w:hint="eastAsia" w:cs="Times New Roman"/>
                <w:color w:val="000000" w:themeColor="text1"/>
                <w:sz w:val="24"/>
                <w:szCs w:val="32"/>
                <w:u w:val="single"/>
                <w:lang w:val="en-US" w:eastAsia="zh-CN"/>
                <w14:textFill>
                  <w14:solidFill>
                    <w14:schemeClr w14:val="tx1"/>
                  </w14:solidFill>
                </w14:textFill>
              </w:rPr>
              <w:t>1</w:t>
            </w:r>
            <w:r>
              <w:rPr>
                <w:rFonts w:hint="default" w:ascii="Times New Roman" w:hAnsi="Times New Roman" w:cs="Times New Roman"/>
                <w:color w:val="000000" w:themeColor="text1"/>
                <w:sz w:val="24"/>
                <w:szCs w:val="32"/>
                <w:u w:val="single"/>
                <w:lang w:val="en-US" w:eastAsia="zh-CN"/>
                <w14:textFill>
                  <w14:solidFill>
                    <w14:schemeClr w14:val="tx1"/>
                  </w14:solidFill>
                </w14:textFill>
              </w:rPr>
              <w:t>。</w:t>
            </w:r>
          </w:p>
          <w:p>
            <w:pPr>
              <w:keepNext w:val="0"/>
              <w:keepLines w:val="0"/>
              <w:suppressLineNumbers w:val="0"/>
              <w:spacing w:before="0" w:beforeAutospacing="0" w:after="0" w:afterAutospacing="0"/>
              <w:ind w:left="0" w:right="0" w:firstLine="482"/>
              <w:jc w:val="center"/>
              <w:rPr>
                <w:rFonts w:hint="default" w:ascii="Times New Roman" w:hAnsi="Times New Roman" w:cs="Times New Roman"/>
                <w:b/>
                <w:bCs/>
                <w:color w:val="000000" w:themeColor="text1"/>
                <w:sz w:val="21"/>
                <w:szCs w:val="21"/>
                <w:u w:val="single"/>
                <w:lang w:val="en-US" w:eastAsia="zh-CN"/>
                <w14:textFill>
                  <w14:solidFill>
                    <w14:schemeClr w14:val="tx1"/>
                  </w14:solidFill>
                </w14:textFill>
              </w:rPr>
            </w:pPr>
            <w:r>
              <w:rPr>
                <w:rFonts w:hint="default" w:ascii="Times New Roman" w:hAnsi="Times New Roman" w:cs="Times New Roman"/>
                <w:b/>
                <w:bCs/>
                <w:color w:val="000000" w:themeColor="text1"/>
                <w:sz w:val="21"/>
                <w:szCs w:val="21"/>
                <w:u w:val="single"/>
                <w:lang w:val="en-US" w:eastAsia="zh-CN"/>
                <w14:textFill>
                  <w14:solidFill>
                    <w14:schemeClr w14:val="tx1"/>
                  </w14:solidFill>
                </w14:textFill>
              </w:rPr>
              <w:t>表4-</w:t>
            </w:r>
            <w:r>
              <w:rPr>
                <w:rFonts w:hint="eastAsia" w:cs="Times New Roman"/>
                <w:b/>
                <w:bCs/>
                <w:color w:val="000000" w:themeColor="text1"/>
                <w:sz w:val="21"/>
                <w:szCs w:val="21"/>
                <w:u w:val="single"/>
                <w:lang w:val="en-US" w:eastAsia="zh-CN"/>
                <w14:textFill>
                  <w14:solidFill>
                    <w14:schemeClr w14:val="tx1"/>
                  </w14:solidFill>
                </w14:textFill>
              </w:rPr>
              <w:t>1</w:t>
            </w:r>
            <w:r>
              <w:rPr>
                <w:rFonts w:hint="default" w:ascii="Times New Roman" w:hAnsi="Times New Roman" w:cs="Times New Roman"/>
                <w:b/>
                <w:bCs/>
                <w:color w:val="000000" w:themeColor="text1"/>
                <w:sz w:val="21"/>
                <w:szCs w:val="21"/>
                <w:u w:val="single"/>
                <w:lang w:val="en-US" w:eastAsia="zh-CN"/>
                <w14:textFill>
                  <w14:solidFill>
                    <w14:schemeClr w14:val="tx1"/>
                  </w14:solidFill>
                </w14:textFill>
              </w:rPr>
              <w:t xml:space="preserve"> 工业企业噪声源强调查清单（室外声源）</w:t>
            </w:r>
          </w:p>
          <w:tbl>
            <w:tblPr>
              <w:tblStyle w:val="22"/>
              <w:tblW w:w="4998" w:type="pct"/>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03"/>
              <w:gridCol w:w="1191"/>
              <w:gridCol w:w="847"/>
              <w:gridCol w:w="999"/>
              <w:gridCol w:w="877"/>
              <w:gridCol w:w="963"/>
              <w:gridCol w:w="960"/>
              <w:gridCol w:w="826"/>
              <w:gridCol w:w="563"/>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PrEx>
              <w:trPr>
                <w:trHeight w:val="340" w:hRule="atLeast"/>
              </w:trPr>
              <w:tc>
                <w:tcPr>
                  <w:tcW w:w="325" w:type="pct"/>
                  <w:vMerge w:val="restart"/>
                  <w:tcBorders>
                    <w:bottom w:val="nil"/>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序号</w:t>
                  </w:r>
                </w:p>
              </w:tc>
              <w:tc>
                <w:tcPr>
                  <w:tcW w:w="770" w:type="pct"/>
                  <w:vMerge w:val="restart"/>
                  <w:tcBorders>
                    <w:left w:val="nil"/>
                    <w:bottom w:val="nil"/>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声源名称</w:t>
                  </w:r>
                </w:p>
              </w:tc>
              <w:tc>
                <w:tcPr>
                  <w:tcW w:w="1761" w:type="pct"/>
                  <w:gridSpan w:val="3"/>
                  <w:tcBorders>
                    <w:left w:val="nil"/>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空间相对位置</w:t>
                  </w:r>
                  <w:r>
                    <w:rPr>
                      <w:rFonts w:hint="default" w:ascii="Times New Roman" w:hAnsi="Times New Roman" w:eastAsia="宋体" w:cs="Times New Roman"/>
                      <w:color w:val="000000" w:themeColor="text1"/>
                      <w:spacing w:val="-56"/>
                      <w:kern w:val="0"/>
                      <w:sz w:val="21"/>
                      <w:szCs w:val="21"/>
                      <w:u w:val="single"/>
                      <w:lang w:val="en-US" w:eastAsia="zh-CN" w:bidi="ar"/>
                      <w14:textFill>
                        <w14:solidFill>
                          <w14:schemeClr w14:val="tx1"/>
                        </w14:solidFill>
                      </w14:textFill>
                    </w:rPr>
                    <w:t xml:space="preserve"> </w:t>
                  </w:r>
                  <w:r>
                    <w:rPr>
                      <w:rFonts w:hint="default" w:ascii="Times New Roman" w:hAnsi="Times New Roman" w:cs="Times New Roman"/>
                      <w:color w:val="000000" w:themeColor="text1"/>
                      <w:kern w:val="0"/>
                      <w:sz w:val="21"/>
                      <w:szCs w:val="21"/>
                      <w:u w:val="single"/>
                      <w:lang w:val="en-US" w:eastAsia="zh-CN" w:bidi="ar"/>
                      <w14:textFill>
                        <w14:solidFill>
                          <w14:schemeClr w14:val="tx1"/>
                        </w14:solidFill>
                      </w14:textFill>
                    </w:rPr>
                    <w:t>m</w:t>
                  </w:r>
                </w:p>
              </w:tc>
              <w:tc>
                <w:tcPr>
                  <w:tcW w:w="1244" w:type="pct"/>
                  <w:gridSpan w:val="2"/>
                  <w:tcBorders>
                    <w:left w:val="nil"/>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声源源强</w:t>
                  </w:r>
                </w:p>
              </w:tc>
              <w:tc>
                <w:tcPr>
                  <w:tcW w:w="534" w:type="pct"/>
                  <w:vMerge w:val="restart"/>
                  <w:tcBorders>
                    <w:left w:val="nil"/>
                    <w:bottom w:val="nil"/>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声源控制措施</w:t>
                  </w:r>
                </w:p>
              </w:tc>
              <w:tc>
                <w:tcPr>
                  <w:tcW w:w="364" w:type="pct"/>
                  <w:vMerge w:val="restart"/>
                  <w:tcBorders>
                    <w:left w:val="nil"/>
                    <w:bottom w:val="nil"/>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运行 时段</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325"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p>
              </w:tc>
              <w:tc>
                <w:tcPr>
                  <w:tcW w:w="770" w:type="pct"/>
                  <w:vMerge w:val="continue"/>
                  <w:tcBorders>
                    <w:top w:val="single" w:color="000000" w:sz="4" w:space="0"/>
                    <w:left w:val="nil"/>
                    <w:bottom w:val="nil"/>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p>
              </w:tc>
              <w:tc>
                <w:tcPr>
                  <w:tcW w:w="548" w:type="pct"/>
                  <w:tcBorders>
                    <w:top w:val="single" w:color="000000" w:sz="4" w:space="0"/>
                    <w:left w:val="nil"/>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t>X</w:t>
                  </w:r>
                </w:p>
              </w:tc>
              <w:tc>
                <w:tcPr>
                  <w:tcW w:w="646" w:type="pct"/>
                  <w:tcBorders>
                    <w:top w:val="single" w:color="000000" w:sz="4" w:space="0"/>
                    <w:left w:val="nil"/>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t>Y</w:t>
                  </w:r>
                </w:p>
              </w:tc>
              <w:tc>
                <w:tcPr>
                  <w:tcW w:w="566" w:type="pct"/>
                  <w:tcBorders>
                    <w:top w:val="single" w:color="000000" w:sz="4" w:space="0"/>
                    <w:left w:val="nil"/>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t>Z</w:t>
                  </w:r>
                </w:p>
              </w:tc>
              <w:tc>
                <w:tcPr>
                  <w:tcW w:w="623" w:type="pct"/>
                  <w:tcBorders>
                    <w:top w:val="single" w:color="000000" w:sz="4" w:space="0"/>
                    <w:left w:val="nil"/>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声压级</w:t>
                  </w:r>
                  <w:r>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t>/dB</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w:t>
                  </w:r>
                  <w:r>
                    <w:rPr>
                      <w:rFonts w:hint="default" w:ascii="Times New Roman" w:hAnsi="Times New Roman" w:cs="Times New Roman"/>
                      <w:color w:val="000000" w:themeColor="text1"/>
                      <w:kern w:val="0"/>
                      <w:sz w:val="21"/>
                      <w:szCs w:val="21"/>
                      <w:u w:val="single"/>
                      <w:lang w:val="en-US" w:eastAsia="zh-CN" w:bidi="ar"/>
                      <w14:textFill>
                        <w14:solidFill>
                          <w14:schemeClr w14:val="tx1"/>
                        </w14:solidFill>
                      </w14:textFill>
                    </w:rPr>
                    <w:t>A</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w:t>
                  </w:r>
                </w:p>
              </w:tc>
              <w:tc>
                <w:tcPr>
                  <w:tcW w:w="620" w:type="pct"/>
                  <w:tcBorders>
                    <w:top w:val="single" w:color="000000" w:sz="4" w:space="0"/>
                    <w:left w:val="nil"/>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与声源距</w:t>
                  </w:r>
                  <w:r>
                    <w:rPr>
                      <w:rFonts w:hint="default" w:ascii="Times New Roman" w:hAnsi="Times New Roman" w:eastAsia="宋体" w:cs="Times New Roman"/>
                      <w:color w:val="000000" w:themeColor="text1"/>
                      <w:spacing w:val="-26"/>
                      <w:kern w:val="0"/>
                      <w:sz w:val="21"/>
                      <w:szCs w:val="21"/>
                      <w:u w:val="single"/>
                      <w:lang w:val="en-US" w:eastAsia="zh-CN" w:bidi="ar"/>
                      <w14:textFill>
                        <w14:solidFill>
                          <w14:schemeClr w14:val="tx1"/>
                        </w14:solidFill>
                      </w14:textFill>
                    </w:rPr>
                    <w:t>离（</w:t>
                  </w:r>
                  <w:r>
                    <w:rPr>
                      <w:rFonts w:hint="default" w:ascii="Times New Roman" w:hAnsi="Times New Roman" w:cs="Times New Roman"/>
                      <w:color w:val="000000" w:themeColor="text1"/>
                      <w:spacing w:val="-26"/>
                      <w:kern w:val="0"/>
                      <w:sz w:val="21"/>
                      <w:szCs w:val="21"/>
                      <w:u w:val="single"/>
                      <w:lang w:val="en-US" w:eastAsia="zh-CN" w:bidi="ar"/>
                      <w14:textFill>
                        <w14:solidFill>
                          <w14:schemeClr w14:val="tx1"/>
                        </w14:solidFill>
                      </w14:textFill>
                    </w:rPr>
                    <w:t>m</w:t>
                  </w:r>
                  <w:r>
                    <w:rPr>
                      <w:rFonts w:hint="default" w:ascii="Times New Roman" w:hAnsi="Times New Roman" w:eastAsia="宋体" w:cs="Times New Roman"/>
                      <w:color w:val="000000" w:themeColor="text1"/>
                      <w:spacing w:val="-26"/>
                      <w:kern w:val="0"/>
                      <w:sz w:val="21"/>
                      <w:szCs w:val="21"/>
                      <w:u w:val="single"/>
                      <w:lang w:val="en-US" w:eastAsia="zh-CN" w:bidi="ar"/>
                      <w14:textFill>
                        <w14:solidFill>
                          <w14:schemeClr w14:val="tx1"/>
                        </w14:solidFill>
                      </w14:textFill>
                    </w:rPr>
                    <w:t>）</w:t>
                  </w:r>
                </w:p>
              </w:tc>
              <w:tc>
                <w:tcPr>
                  <w:tcW w:w="534" w:type="pct"/>
                  <w:vMerge w:val="continue"/>
                  <w:tcBorders>
                    <w:top w:val="single" w:color="000000" w:sz="4" w:space="0"/>
                    <w:left w:val="nil"/>
                    <w:bottom w:val="nil"/>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p>
              </w:tc>
              <w:tc>
                <w:tcPr>
                  <w:tcW w:w="364" w:type="pct"/>
                  <w:vMerge w:val="continue"/>
                  <w:tcBorders>
                    <w:top w:val="single" w:color="000000" w:sz="4" w:space="0"/>
                    <w:left w:val="nil"/>
                    <w:bottom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325" w:type="pct"/>
                  <w:tcBorders>
                    <w:top w:val="single" w:color="000000" w:sz="4" w:space="0"/>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t>1</w:t>
                  </w:r>
                </w:p>
              </w:tc>
              <w:tc>
                <w:tcPr>
                  <w:tcW w:w="770" w:type="pct"/>
                  <w:tcBorders>
                    <w:top w:val="single" w:color="000000" w:sz="4" w:space="0"/>
                    <w:left w:val="nil"/>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主变</w:t>
                  </w:r>
                  <w:r>
                    <w:rPr>
                      <w:rFonts w:hint="default" w:ascii="Times New Roman" w:hAnsi="Times New Roman" w:eastAsia="宋体" w:cs="Times New Roman"/>
                      <w:color w:val="000000" w:themeColor="text1"/>
                      <w:spacing w:val="-10"/>
                      <w:kern w:val="0"/>
                      <w:sz w:val="21"/>
                      <w:szCs w:val="21"/>
                      <w:u w:val="single"/>
                      <w:lang w:val="en-US" w:eastAsia="zh-CN" w:bidi="ar"/>
                      <w14:textFill>
                        <w14:solidFill>
                          <w14:schemeClr w14:val="tx1"/>
                        </w14:solidFill>
                      </w14:textFill>
                    </w:rPr>
                    <w:t>压器</w:t>
                  </w:r>
                </w:p>
              </w:tc>
              <w:tc>
                <w:tcPr>
                  <w:tcW w:w="548" w:type="pct"/>
                  <w:tcBorders>
                    <w:top w:val="single" w:color="000000" w:sz="4" w:space="0"/>
                    <w:left w:val="nil"/>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16~30</w:t>
                  </w:r>
                </w:p>
              </w:tc>
              <w:tc>
                <w:tcPr>
                  <w:tcW w:w="646" w:type="pct"/>
                  <w:tcBorders>
                    <w:top w:val="single" w:color="000000" w:sz="4" w:space="0"/>
                    <w:left w:val="nil"/>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60~70</w:t>
                  </w:r>
                </w:p>
              </w:tc>
              <w:tc>
                <w:tcPr>
                  <w:tcW w:w="566" w:type="pct"/>
                  <w:tcBorders>
                    <w:top w:val="single" w:color="000000" w:sz="4" w:space="0"/>
                    <w:left w:val="nil"/>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0.5~4.5</w:t>
                  </w:r>
                </w:p>
              </w:tc>
              <w:tc>
                <w:tcPr>
                  <w:tcW w:w="623" w:type="pct"/>
                  <w:tcBorders>
                    <w:top w:val="single" w:color="000000" w:sz="4" w:space="0"/>
                    <w:left w:val="nil"/>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szCs w:val="21"/>
                      <w:u w:val="single"/>
                      <w:lang w:val="en-US"/>
                      <w14:textFill>
                        <w14:solidFill>
                          <w14:schemeClr w14:val="tx1"/>
                        </w14:solidFill>
                      </w14:textFill>
                    </w:rPr>
                  </w:pPr>
                  <w:r>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t>70</w:t>
                  </w:r>
                </w:p>
              </w:tc>
              <w:tc>
                <w:tcPr>
                  <w:tcW w:w="620" w:type="pct"/>
                  <w:tcBorders>
                    <w:top w:val="single" w:color="000000" w:sz="4" w:space="0"/>
                    <w:left w:val="nil"/>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t>1</w:t>
                  </w:r>
                </w:p>
              </w:tc>
              <w:tc>
                <w:tcPr>
                  <w:tcW w:w="534" w:type="pct"/>
                  <w:tcBorders>
                    <w:top w:val="single" w:color="000000" w:sz="4" w:space="0"/>
                    <w:left w:val="nil"/>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低噪声设备</w:t>
                  </w:r>
                </w:p>
              </w:tc>
              <w:tc>
                <w:tcPr>
                  <w:tcW w:w="364" w:type="pct"/>
                  <w:tcBorders>
                    <w:top w:val="single" w:color="000000" w:sz="4" w:space="0"/>
                    <w:left w:val="nil"/>
                    <w:bottom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全时 段</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PrEx>
              <w:trPr>
                <w:trHeight w:val="340" w:hRule="atLeast"/>
              </w:trPr>
              <w:tc>
                <w:tcPr>
                  <w:tcW w:w="325" w:type="pct"/>
                  <w:tcBorders>
                    <w:top w:val="single" w:color="000000" w:sz="4" w:space="0"/>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t>2</w:t>
                  </w:r>
                </w:p>
              </w:tc>
              <w:tc>
                <w:tcPr>
                  <w:tcW w:w="770" w:type="pct"/>
                  <w:tcBorders>
                    <w:top w:val="single" w:color="000000" w:sz="4" w:space="0"/>
                    <w:left w:val="nil"/>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35KV备用变</w:t>
                  </w:r>
                  <w:r>
                    <w:rPr>
                      <w:rFonts w:hint="default" w:ascii="Times New Roman" w:hAnsi="Times New Roman" w:eastAsia="宋体" w:cs="Times New Roman"/>
                      <w:color w:val="000000" w:themeColor="text1"/>
                      <w:spacing w:val="-10"/>
                      <w:kern w:val="0"/>
                      <w:sz w:val="21"/>
                      <w:szCs w:val="21"/>
                      <w:u w:val="single"/>
                      <w:lang w:val="en-US" w:eastAsia="zh-CN" w:bidi="ar"/>
                      <w14:textFill>
                        <w14:solidFill>
                          <w14:schemeClr w14:val="tx1"/>
                        </w14:solidFill>
                      </w14:textFill>
                    </w:rPr>
                    <w:t>压器</w:t>
                  </w:r>
                </w:p>
              </w:tc>
              <w:tc>
                <w:tcPr>
                  <w:tcW w:w="548" w:type="pct"/>
                  <w:tcBorders>
                    <w:top w:val="single" w:color="000000" w:sz="4" w:space="0"/>
                    <w:left w:val="nil"/>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t>68~72</w:t>
                  </w:r>
                </w:p>
              </w:tc>
              <w:tc>
                <w:tcPr>
                  <w:tcW w:w="646" w:type="pct"/>
                  <w:tcBorders>
                    <w:top w:val="single" w:color="000000" w:sz="4" w:space="0"/>
                    <w:left w:val="nil"/>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t>43~47</w:t>
                  </w:r>
                </w:p>
              </w:tc>
              <w:tc>
                <w:tcPr>
                  <w:tcW w:w="566" w:type="pct"/>
                  <w:tcBorders>
                    <w:top w:val="single" w:color="000000" w:sz="4" w:space="0"/>
                    <w:left w:val="nil"/>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t>0.5~4.0</w:t>
                  </w:r>
                </w:p>
              </w:tc>
              <w:tc>
                <w:tcPr>
                  <w:tcW w:w="623" w:type="pct"/>
                  <w:tcBorders>
                    <w:top w:val="single" w:color="000000" w:sz="4" w:space="0"/>
                    <w:left w:val="nil"/>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t>65</w:t>
                  </w:r>
                </w:p>
              </w:tc>
              <w:tc>
                <w:tcPr>
                  <w:tcW w:w="620" w:type="pct"/>
                  <w:tcBorders>
                    <w:top w:val="single" w:color="000000" w:sz="4" w:space="0"/>
                    <w:left w:val="nil"/>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t>1</w:t>
                  </w:r>
                </w:p>
              </w:tc>
              <w:tc>
                <w:tcPr>
                  <w:tcW w:w="534" w:type="pct"/>
                  <w:tcBorders>
                    <w:top w:val="single" w:color="000000" w:sz="4" w:space="0"/>
                    <w:left w:val="nil"/>
                    <w:bottom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低噪声设备</w:t>
                  </w:r>
                </w:p>
              </w:tc>
              <w:tc>
                <w:tcPr>
                  <w:tcW w:w="364" w:type="pct"/>
                  <w:tcBorders>
                    <w:top w:val="single" w:color="000000" w:sz="4" w:space="0"/>
                    <w:left w:val="nil"/>
                    <w:bottom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全时 段</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340" w:hRule="atLeast"/>
              </w:trPr>
              <w:tc>
                <w:tcPr>
                  <w:tcW w:w="325" w:type="pct"/>
                  <w:tcBorders>
                    <w:top w:val="single" w:color="000000" w:sz="4" w:space="0"/>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t>3</w:t>
                  </w:r>
                </w:p>
              </w:tc>
              <w:tc>
                <w:tcPr>
                  <w:tcW w:w="770" w:type="pct"/>
                  <w:tcBorders>
                    <w:top w:val="single" w:color="000000" w:sz="4" w:space="0"/>
                    <w:left w:val="nil"/>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u w:val="single"/>
                      <w:shd w:val="clear" w:color="auto" w:fill="auto"/>
                      <w:lang w:val="en-US" w:eastAsia="zh-CN" w:bidi="ar-SA"/>
                      <w14:textFill>
                        <w14:solidFill>
                          <w14:schemeClr w14:val="tx1"/>
                        </w14:solidFill>
                      </w14:textFill>
                    </w:rPr>
                    <w:t>SVG无功补偿装置</w:t>
                  </w:r>
                </w:p>
              </w:tc>
              <w:tc>
                <w:tcPr>
                  <w:tcW w:w="548" w:type="pct"/>
                  <w:tcBorders>
                    <w:top w:val="single" w:color="000000" w:sz="4" w:space="0"/>
                    <w:left w:val="nil"/>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t>36~54</w:t>
                  </w:r>
                </w:p>
              </w:tc>
              <w:tc>
                <w:tcPr>
                  <w:tcW w:w="646" w:type="pct"/>
                  <w:tcBorders>
                    <w:top w:val="single" w:color="000000" w:sz="4" w:space="0"/>
                    <w:left w:val="nil"/>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t>81~97</w:t>
                  </w:r>
                </w:p>
              </w:tc>
              <w:tc>
                <w:tcPr>
                  <w:tcW w:w="566" w:type="pct"/>
                  <w:tcBorders>
                    <w:top w:val="single" w:color="000000" w:sz="4" w:space="0"/>
                    <w:left w:val="nil"/>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t>0~3.5</w:t>
                  </w:r>
                </w:p>
              </w:tc>
              <w:tc>
                <w:tcPr>
                  <w:tcW w:w="623" w:type="pct"/>
                  <w:tcBorders>
                    <w:top w:val="single" w:color="000000" w:sz="4" w:space="0"/>
                    <w:left w:val="nil"/>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t>60</w:t>
                  </w:r>
                </w:p>
              </w:tc>
              <w:tc>
                <w:tcPr>
                  <w:tcW w:w="620" w:type="pct"/>
                  <w:tcBorders>
                    <w:top w:val="single" w:color="000000" w:sz="4" w:space="0"/>
                    <w:left w:val="nil"/>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Calibri" w:cs="Times New Roman"/>
                      <w:color w:val="000000" w:themeColor="text1"/>
                      <w:kern w:val="0"/>
                      <w:sz w:val="21"/>
                      <w:szCs w:val="21"/>
                      <w:u w:val="single"/>
                      <w:lang w:val="en-US" w:eastAsia="zh-CN" w:bidi="ar"/>
                      <w14:textFill>
                        <w14:solidFill>
                          <w14:schemeClr w14:val="tx1"/>
                        </w14:solidFill>
                      </w14:textFill>
                    </w:rPr>
                    <w:t>1</w:t>
                  </w:r>
                </w:p>
              </w:tc>
              <w:tc>
                <w:tcPr>
                  <w:tcW w:w="534" w:type="pct"/>
                  <w:tcBorders>
                    <w:top w:val="single" w:color="000000" w:sz="4" w:space="0"/>
                    <w:left w:val="nil"/>
                    <w:right w:val="single" w:color="000000" w:sz="4" w:space="0"/>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低噪声设备</w:t>
                  </w:r>
                </w:p>
              </w:tc>
              <w:tc>
                <w:tcPr>
                  <w:tcW w:w="364" w:type="pct"/>
                  <w:tcBorders>
                    <w:top w:val="single" w:color="000000" w:sz="4" w:space="0"/>
                    <w:left w:val="nil"/>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全时 段</w:t>
                  </w:r>
                </w:p>
              </w:tc>
            </w:tr>
          </w:tbl>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cs="Times New Roman"/>
                <w:color w:val="000000" w:themeColor="text1"/>
                <w:u w:val="single"/>
                <w:lang w:val="en-US" w:eastAsia="zh-CN"/>
                <w14:textFill>
                  <w14:solidFill>
                    <w14:schemeClr w14:val="tx1"/>
                  </w14:solidFill>
                </w14:textFill>
              </w:rPr>
            </w:pPr>
            <w:r>
              <w:rPr>
                <w:rFonts w:hint="default" w:ascii="Times New Roman" w:hAnsi="Times New Roman" w:cs="Times New Roman"/>
                <w:color w:val="000000" w:themeColor="text1"/>
                <w:u w:val="single"/>
                <w:lang w:val="en-US" w:eastAsia="zh-CN"/>
                <w14:textFill>
                  <w14:solidFill>
                    <w14:schemeClr w14:val="tx1"/>
                  </w14:solidFill>
                </w14:textFill>
              </w:rPr>
              <w:t>注：相对坐标系以</w:t>
            </w:r>
            <w:r>
              <w:rPr>
                <w:rFonts w:hint="eastAsia" w:cs="Times New Roman"/>
                <w:color w:val="000000" w:themeColor="text1"/>
                <w:u w:val="single"/>
                <w:lang w:val="en-US" w:eastAsia="zh-CN"/>
                <w14:textFill>
                  <w14:solidFill>
                    <w14:schemeClr w14:val="tx1"/>
                  </w14:solidFill>
                </w14:textFill>
              </w:rPr>
              <w:t>升压站</w:t>
            </w:r>
            <w:r>
              <w:rPr>
                <w:rFonts w:hint="default" w:ascii="Times New Roman" w:hAnsi="Times New Roman" w:cs="Times New Roman"/>
                <w:color w:val="000000" w:themeColor="text1"/>
                <w:u w:val="single"/>
                <w:lang w:val="en-US" w:eastAsia="zh-CN"/>
                <w14:textFill>
                  <w14:solidFill>
                    <w14:schemeClr w14:val="tx1"/>
                  </w14:solidFill>
                </w14:textFill>
              </w:rPr>
              <w:t>西南角为原点（0</w:t>
            </w:r>
            <w:r>
              <w:rPr>
                <w:rFonts w:hint="eastAsia" w:cs="Times New Roman"/>
                <w:color w:val="000000" w:themeColor="text1"/>
                <w:u w:val="single"/>
                <w:lang w:val="en-US" w:eastAsia="zh-CN"/>
                <w14:textFill>
                  <w14:solidFill>
                    <w14:schemeClr w14:val="tx1"/>
                  </w14:solidFill>
                </w14:textFill>
              </w:rPr>
              <w:t>，</w:t>
            </w:r>
            <w:r>
              <w:rPr>
                <w:rFonts w:hint="default" w:ascii="Times New Roman" w:hAnsi="Times New Roman" w:cs="Times New Roman"/>
                <w:color w:val="000000" w:themeColor="text1"/>
                <w:u w:val="single"/>
                <w:lang w:val="en-US" w:eastAsia="zh-CN"/>
                <w14:textFill>
                  <w14:solidFill>
                    <w14:schemeClr w14:val="tx1"/>
                  </w14:solidFill>
                </w14:textFill>
              </w:rPr>
              <w:t>0</w:t>
            </w:r>
            <w:r>
              <w:rPr>
                <w:rFonts w:hint="eastAsia" w:cs="Times New Roman"/>
                <w:color w:val="000000" w:themeColor="text1"/>
                <w:u w:val="single"/>
                <w:lang w:val="en-US" w:eastAsia="zh-CN"/>
                <w14:textFill>
                  <w14:solidFill>
                    <w14:schemeClr w14:val="tx1"/>
                  </w14:solidFill>
                </w14:textFill>
              </w:rPr>
              <w:t>，</w:t>
            </w:r>
            <w:r>
              <w:rPr>
                <w:rFonts w:hint="default" w:ascii="Times New Roman" w:hAnsi="Times New Roman" w:cs="Times New Roman"/>
                <w:color w:val="000000" w:themeColor="text1"/>
                <w:u w:val="single"/>
                <w:lang w:val="en-US" w:eastAsia="zh-CN"/>
                <w14:textFill>
                  <w14:solidFill>
                    <w14:schemeClr w14:val="tx1"/>
                  </w14:solidFill>
                </w14:textFill>
              </w:rPr>
              <w:t>0），以变电站南侧围墙为X 轴，向东为X 轴正向，西侧围墙为Y 轴，向北为Y 轴正向，单位m。</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default" w:ascii="Times New Roman" w:hAnsi="Times New Roman" w:cs="Times New Roman"/>
                <w:color w:val="000000" w:themeColor="text1"/>
                <w:sz w:val="24"/>
                <w:szCs w:val="32"/>
                <w:u w:val="single"/>
                <w:lang w:val="en-US" w:eastAsia="zh-CN"/>
                <w14:textFill>
                  <w14:solidFill>
                    <w14:schemeClr w14:val="tx1"/>
                  </w14:solidFill>
                </w14:textFill>
              </w:rPr>
              <w:t>（3）预测点位</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32"/>
                <w:u w:val="single"/>
                <w:lang w:val="en-US" w:eastAsia="zh-CN"/>
                <w14:textFill>
                  <w14:solidFill>
                    <w14:schemeClr w14:val="tx1"/>
                  </w14:solidFill>
                </w14:textFill>
              </w:rPr>
            </w:pPr>
            <w:r>
              <w:rPr>
                <w:rFonts w:hint="default" w:ascii="Times New Roman" w:hAnsi="Times New Roman" w:cs="Times New Roman"/>
                <w:color w:val="000000" w:themeColor="text1"/>
                <w:sz w:val="24"/>
                <w:szCs w:val="32"/>
                <w:u w:val="single"/>
                <w:lang w:val="en-US" w:eastAsia="zh-CN"/>
                <w14:textFill>
                  <w14:solidFill>
                    <w14:schemeClr w14:val="tx1"/>
                  </w14:solidFill>
                </w14:textFill>
              </w:rPr>
              <w:t>以升压站围墙为厂界，厂界预测点位选在围墙</w:t>
            </w:r>
            <w:r>
              <w:rPr>
                <w:rFonts w:hint="eastAsia" w:cs="Times New Roman"/>
                <w:color w:val="000000" w:themeColor="text1"/>
                <w:sz w:val="24"/>
                <w:szCs w:val="32"/>
                <w:u w:val="single"/>
                <w:lang w:val="en-US" w:eastAsia="zh-CN"/>
                <w14:textFill>
                  <w14:solidFill>
                    <w14:schemeClr w14:val="tx1"/>
                  </w14:solidFill>
                </w14:textFill>
              </w:rPr>
              <w:t>外1m，预测点位高度1.5m</w:t>
            </w:r>
            <w:r>
              <w:rPr>
                <w:rFonts w:hint="default" w:ascii="Times New Roman" w:hAnsi="Times New Roman" w:cs="Times New Roman"/>
                <w:color w:val="000000" w:themeColor="text1"/>
                <w:sz w:val="24"/>
                <w:szCs w:val="32"/>
                <w:u w:val="single"/>
                <w:lang w:val="en-US" w:eastAsia="zh-CN"/>
                <w14:textFill>
                  <w14:solidFill>
                    <w14:schemeClr w14:val="tx1"/>
                  </w14:solidFill>
                </w14:textFill>
              </w:rPr>
              <w:t>。</w:t>
            </w: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站址声环境评价范围无声环境敏感目标。</w:t>
            </w:r>
          </w:p>
          <w:p>
            <w:pPr>
              <w:keepNext w:val="0"/>
              <w:keepLines w:val="0"/>
              <w:widowControl w:val="0"/>
              <w:suppressLineNumbers w:val="0"/>
              <w:spacing w:before="0" w:beforeAutospacing="0" w:after="0" w:afterAutospacing="0" w:line="360" w:lineRule="auto"/>
              <w:ind w:left="0" w:right="0" w:firstLine="504" w:firstLineChars="200"/>
              <w:jc w:val="both"/>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pPr>
            <w:r>
              <w:rPr>
                <w:rFonts w:hint="default" w:ascii="Times New Roman" w:hAnsi="Times New Roman" w:cs="Times New Roman"/>
                <w:color w:val="000000" w:themeColor="text1"/>
                <w:spacing w:val="6"/>
                <w:kern w:val="2"/>
                <w:sz w:val="24"/>
                <w:szCs w:val="24"/>
                <w:highlight w:val="none"/>
                <w:u w:val="single"/>
                <w:lang w:val="en-US" w:eastAsia="zh-CN" w:bidi="ar-SA"/>
                <w14:textFill>
                  <w14:solidFill>
                    <w14:schemeClr w14:val="tx1"/>
                  </w14:solidFill>
                </w14:textFill>
              </w:rPr>
              <w:t>（4）</w:t>
            </w:r>
            <w:r>
              <w:rPr>
                <w:rFonts w:hint="default" w:ascii="Times New Roman" w:hAnsi="Times New Roman" w:eastAsia="宋体" w:cs="Times New Roman"/>
                <w:color w:val="000000" w:themeColor="text1"/>
                <w:sz w:val="24"/>
                <w:szCs w:val="24"/>
                <w:u w:val="single"/>
                <w14:textFill>
                  <w14:solidFill>
                    <w14:schemeClr w14:val="tx1"/>
                  </w14:solidFill>
                </w14:textFill>
              </w:rPr>
              <w:t>预测结果</w:t>
            </w:r>
          </w:p>
          <w:p>
            <w:pPr>
              <w:keepNext w:val="0"/>
              <w:keepLines w:val="0"/>
              <w:widowControl w:val="0"/>
              <w:suppressLineNumbers w:val="0"/>
              <w:spacing w:before="0" w:beforeAutospacing="0" w:after="0" w:afterAutospacing="0" w:line="360" w:lineRule="auto"/>
              <w:ind w:left="0" w:right="0" w:firstLine="504" w:firstLineChars="200"/>
              <w:jc w:val="both"/>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根据升压站平面布置，结合上述预测计算模型及计算参数，本工程新建升压站运行后的厂界噪声预测计算结果详见4-</w:t>
            </w:r>
            <w:r>
              <w:rPr>
                <w:rFonts w:hint="eastAsia" w:cs="Times New Roman"/>
                <w:color w:val="000000" w:themeColor="text1"/>
                <w:spacing w:val="6"/>
                <w:kern w:val="2"/>
                <w:sz w:val="24"/>
                <w:szCs w:val="24"/>
                <w:highlight w:val="none"/>
                <w:u w:val="single"/>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w: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single"/>
                <w:lang w:val="en-US" w:eastAsia="zh-CN"/>
                <w14:textFill>
                  <w14:solidFill>
                    <w14:schemeClr w14:val="tx1"/>
                  </w14:solidFill>
                </w14:textFill>
              </w:rPr>
              <w:t>表4-</w:t>
            </w:r>
            <w:r>
              <w:rPr>
                <w:rFonts w:hint="eastAsia" w:cs="Times New Roman"/>
                <w:b/>
                <w:bCs/>
                <w:color w:val="000000" w:themeColor="text1"/>
                <w:sz w:val="21"/>
                <w:szCs w:val="21"/>
                <w:u w:val="single"/>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u w:val="single"/>
                <w:lang w:val="en-US" w:eastAsia="zh-CN"/>
                <w14:textFill>
                  <w14:solidFill>
                    <w14:schemeClr w14:val="tx1"/>
                  </w14:solidFill>
                </w14:textFill>
              </w:rPr>
              <w:t xml:space="preserve"> 本工程升压站厂界噪声预测结果</w:t>
            </w:r>
            <w:r>
              <w:rPr>
                <w:rFonts w:hint="default" w:ascii="Times New Roman" w:hAnsi="Times New Roman" w:eastAsia="宋体" w:cs="Times New Roman"/>
                <w:b/>
                <w:bCs/>
                <w:color w:val="000000" w:themeColor="text1"/>
                <w:sz w:val="21"/>
                <w:szCs w:val="21"/>
                <w:u w:val="single"/>
                <w:lang w:val="en-US" w:eastAsia="zh-CN"/>
                <w14:textFill>
                  <w14:solidFill>
                    <w14:schemeClr w14:val="tx1"/>
                  </w14:solidFill>
                </w14:textFill>
              </w:rPr>
              <w:tab/>
            </w:r>
            <w:r>
              <w:rPr>
                <w:rFonts w:hint="default" w:ascii="Times New Roman" w:hAnsi="Times New Roman" w:eastAsia="宋体" w:cs="Times New Roman"/>
                <w:b/>
                <w:bCs/>
                <w:color w:val="000000" w:themeColor="text1"/>
                <w:sz w:val="21"/>
                <w:szCs w:val="21"/>
                <w:u w:val="single"/>
                <w:lang w:val="en-US" w:eastAsia="zh-CN"/>
                <w14:textFill>
                  <w14:solidFill>
                    <w14:schemeClr w14:val="tx1"/>
                  </w14:solidFill>
                </w14:textFill>
              </w:rPr>
              <w:t>单位：dB（A）</w:t>
            </w:r>
          </w:p>
          <w:tbl>
            <w:tblPr>
              <w:tblStyle w:val="22"/>
              <w:tblW w:w="4998"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1032"/>
              <w:gridCol w:w="1653"/>
              <w:gridCol w:w="2304"/>
              <w:gridCol w:w="2740"/>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40" w:hRule="atLeast"/>
              </w:trPr>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14:textFill>
                        <w14:solidFill>
                          <w14:schemeClr w14:val="tx1"/>
                        </w14:solidFill>
                      </w14:textFill>
                    </w:rPr>
                    <w:t>序号</w:t>
                  </w:r>
                </w:p>
              </w:tc>
              <w:tc>
                <w:tcPr>
                  <w:tcW w:w="2559"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14:textFill>
                        <w14:solidFill>
                          <w14:schemeClr w14:val="tx1"/>
                        </w14:solidFill>
                      </w14:textFill>
                    </w:rPr>
                    <w:t>预测点位</w:t>
                  </w:r>
                </w:p>
              </w:tc>
              <w:tc>
                <w:tcPr>
                  <w:tcW w:w="177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14:textFill>
                        <w14:solidFill>
                          <w14:schemeClr w14:val="tx1"/>
                        </w14:solidFill>
                      </w14:textFill>
                    </w:rPr>
                    <w:t>贡献值</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1</w:t>
                  </w:r>
                </w:p>
              </w:tc>
              <w:tc>
                <w:tcPr>
                  <w:tcW w:w="1069"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110kV</w:t>
                  </w: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升压</w:t>
                  </w:r>
                  <w:r>
                    <w:rPr>
                      <w:rFonts w:hint="default" w:ascii="Times New Roman" w:hAnsi="Times New Roman" w:eastAsia="宋体" w:cs="Times New Roman"/>
                      <w:color w:val="000000" w:themeColor="text1"/>
                      <w:sz w:val="21"/>
                      <w:szCs w:val="21"/>
                      <w:u w:val="single"/>
                      <w14:textFill>
                        <w14:solidFill>
                          <w14:schemeClr w14:val="tx1"/>
                        </w14:solidFill>
                      </w14:textFill>
                    </w:rPr>
                    <w:t>站</w:t>
                  </w:r>
                </w:p>
              </w:tc>
              <w:tc>
                <w:tcPr>
                  <w:tcW w:w="14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东</w:t>
                  </w:r>
                  <w:r>
                    <w:rPr>
                      <w:rFonts w:hint="default" w:ascii="Times New Roman" w:hAnsi="Times New Roman" w:eastAsia="宋体" w:cs="Times New Roman"/>
                      <w:color w:val="000000" w:themeColor="text1"/>
                      <w:sz w:val="21"/>
                      <w:szCs w:val="21"/>
                      <w:u w:val="single"/>
                      <w14:textFill>
                        <w14:solidFill>
                          <w14:schemeClr w14:val="tx1"/>
                        </w14:solidFill>
                      </w14:textFill>
                    </w:rPr>
                    <w:t>侧</w:t>
                  </w:r>
                  <w:r>
                    <w:rPr>
                      <w:rFonts w:hint="default" w:ascii="Times New Roman" w:hAnsi="Times New Roman" w:cs="Times New Roman"/>
                      <w:color w:val="000000" w:themeColor="text1"/>
                      <w:sz w:val="21"/>
                      <w:szCs w:val="21"/>
                      <w:u w:val="single"/>
                      <w:lang w:eastAsia="zh-CN"/>
                      <w14:textFill>
                        <w14:solidFill>
                          <w14:schemeClr w14:val="tx1"/>
                        </w14:solidFill>
                      </w14:textFill>
                    </w:rPr>
                    <w:t>厂界</w:t>
                  </w:r>
                </w:p>
              </w:tc>
              <w:tc>
                <w:tcPr>
                  <w:tcW w:w="177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34.2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40" w:hRule="atLeast"/>
              </w:trPr>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2</w:t>
                  </w:r>
                </w:p>
              </w:tc>
              <w:tc>
                <w:tcPr>
                  <w:tcW w:w="1069" w:type="pct"/>
                  <w:vMerge w:val="continue"/>
                  <w:tcBorders>
                    <w:top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14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南</w:t>
                  </w:r>
                  <w:r>
                    <w:rPr>
                      <w:rFonts w:hint="default" w:ascii="Times New Roman" w:hAnsi="Times New Roman" w:eastAsia="宋体" w:cs="Times New Roman"/>
                      <w:color w:val="000000" w:themeColor="text1"/>
                      <w:sz w:val="21"/>
                      <w:szCs w:val="21"/>
                      <w:u w:val="single"/>
                      <w14:textFill>
                        <w14:solidFill>
                          <w14:schemeClr w14:val="tx1"/>
                        </w14:solidFill>
                      </w14:textFill>
                    </w:rPr>
                    <w:t>侧</w:t>
                  </w:r>
                  <w:r>
                    <w:rPr>
                      <w:rFonts w:hint="default" w:ascii="Times New Roman" w:hAnsi="Times New Roman" w:cs="Times New Roman"/>
                      <w:color w:val="000000" w:themeColor="text1"/>
                      <w:sz w:val="21"/>
                      <w:szCs w:val="21"/>
                      <w:u w:val="single"/>
                      <w:lang w:eastAsia="zh-CN"/>
                      <w14:textFill>
                        <w14:solidFill>
                          <w14:schemeClr w14:val="tx1"/>
                        </w14:solidFill>
                      </w14:textFill>
                    </w:rPr>
                    <w:t>厂界</w:t>
                  </w:r>
                </w:p>
              </w:tc>
              <w:tc>
                <w:tcPr>
                  <w:tcW w:w="177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25.6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40" w:hRule="atLeast"/>
              </w:trPr>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3</w:t>
                  </w:r>
                </w:p>
              </w:tc>
              <w:tc>
                <w:tcPr>
                  <w:tcW w:w="1069" w:type="pct"/>
                  <w:vMerge w:val="continue"/>
                  <w:tcBorders>
                    <w:top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14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西</w:t>
                  </w:r>
                  <w:r>
                    <w:rPr>
                      <w:rFonts w:hint="default" w:ascii="Times New Roman" w:hAnsi="Times New Roman" w:eastAsia="宋体" w:cs="Times New Roman"/>
                      <w:color w:val="000000" w:themeColor="text1"/>
                      <w:sz w:val="21"/>
                      <w:szCs w:val="21"/>
                      <w:u w:val="single"/>
                      <w14:textFill>
                        <w14:solidFill>
                          <w14:schemeClr w14:val="tx1"/>
                        </w14:solidFill>
                      </w14:textFill>
                    </w:rPr>
                    <w:t>侧</w:t>
                  </w:r>
                  <w:r>
                    <w:rPr>
                      <w:rFonts w:hint="default" w:ascii="Times New Roman" w:hAnsi="Times New Roman" w:cs="Times New Roman"/>
                      <w:color w:val="000000" w:themeColor="text1"/>
                      <w:sz w:val="21"/>
                      <w:szCs w:val="21"/>
                      <w:u w:val="single"/>
                      <w:lang w:eastAsia="zh-CN"/>
                      <w14:textFill>
                        <w14:solidFill>
                          <w14:schemeClr w14:val="tx1"/>
                        </w14:solidFill>
                      </w14:textFill>
                    </w:rPr>
                    <w:t>厂界</w:t>
                  </w:r>
                </w:p>
              </w:tc>
              <w:tc>
                <w:tcPr>
                  <w:tcW w:w="177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37.6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40" w:hRule="atLeast"/>
              </w:trPr>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4</w:t>
                  </w:r>
                </w:p>
              </w:tc>
              <w:tc>
                <w:tcPr>
                  <w:tcW w:w="1069" w:type="pct"/>
                  <w:vMerge w:val="continue"/>
                  <w:tcBorders>
                    <w:top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14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北</w:t>
                  </w:r>
                  <w:r>
                    <w:rPr>
                      <w:rFonts w:hint="default" w:ascii="Times New Roman" w:hAnsi="Times New Roman" w:eastAsia="宋体" w:cs="Times New Roman"/>
                      <w:color w:val="000000" w:themeColor="text1"/>
                      <w:sz w:val="21"/>
                      <w:szCs w:val="21"/>
                      <w:u w:val="single"/>
                      <w14:textFill>
                        <w14:solidFill>
                          <w14:schemeClr w14:val="tx1"/>
                        </w14:solidFill>
                      </w14:textFill>
                    </w:rPr>
                    <w:t>侧</w:t>
                  </w:r>
                  <w:r>
                    <w:rPr>
                      <w:rFonts w:hint="default" w:ascii="Times New Roman" w:hAnsi="Times New Roman" w:cs="Times New Roman"/>
                      <w:color w:val="000000" w:themeColor="text1"/>
                      <w:sz w:val="21"/>
                      <w:szCs w:val="21"/>
                      <w:u w:val="single"/>
                      <w:lang w:eastAsia="zh-CN"/>
                      <w14:textFill>
                        <w14:solidFill>
                          <w14:schemeClr w14:val="tx1"/>
                        </w14:solidFill>
                      </w14:textFill>
                    </w:rPr>
                    <w:t>厂界</w:t>
                  </w:r>
                </w:p>
              </w:tc>
              <w:tc>
                <w:tcPr>
                  <w:tcW w:w="177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41.1</w:t>
                  </w:r>
                </w:p>
              </w:tc>
            </w:tr>
          </w:tbl>
          <w:p>
            <w:pPr>
              <w:keepNext w:val="0"/>
              <w:keepLines w:val="0"/>
              <w:suppressLineNumbers w:val="0"/>
              <w:adjustRightInd w:val="0"/>
              <w:snapToGrid w:val="0"/>
              <w:spacing w:before="0" w:beforeAutospacing="0" w:after="0" w:afterAutospacing="0" w:line="360" w:lineRule="auto"/>
              <w:ind w:left="0" w:right="0" w:firstLine="504" w:firstLineChars="200"/>
              <w:rPr>
                <w:rFonts w:hint="default" w:ascii="Times New Roman" w:hAnsi="Times New Roman" w:eastAsia="宋体" w:cs="Times New Roman"/>
                <w:b/>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根据上表监测结果可知，项目110kV升压站建成投运后，升压站站址处噪声贡献值范围为</w:t>
            </w:r>
            <w:r>
              <w:rPr>
                <w:rFonts w:hint="eastAsia" w:cs="Times New Roman"/>
                <w:color w:val="000000" w:themeColor="text1"/>
                <w:spacing w:val="6"/>
                <w:kern w:val="2"/>
                <w:sz w:val="24"/>
                <w:szCs w:val="24"/>
                <w:highlight w:val="none"/>
                <w:u w:val="single"/>
                <w:lang w:val="en-US" w:eastAsia="zh-CN" w:bidi="ar-SA"/>
                <w14:textFill>
                  <w14:solidFill>
                    <w14:schemeClr w14:val="tx1"/>
                  </w14:solidFill>
                </w14:textFill>
              </w:rPr>
              <w:t>25.6</w:t>
            </w: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dB(A)～</w:t>
            </w:r>
            <w:r>
              <w:rPr>
                <w:rFonts w:hint="eastAsia" w:cs="Times New Roman"/>
                <w:color w:val="000000" w:themeColor="text1"/>
                <w:spacing w:val="6"/>
                <w:kern w:val="2"/>
                <w:sz w:val="24"/>
                <w:szCs w:val="24"/>
                <w:highlight w:val="none"/>
                <w:u w:val="single"/>
                <w:lang w:val="en-US" w:eastAsia="zh-CN" w:bidi="ar-SA"/>
                <w14:textFill>
                  <w14:solidFill>
                    <w14:schemeClr w14:val="tx1"/>
                  </w14:solidFill>
                </w14:textFill>
              </w:rPr>
              <w:t>41.1</w:t>
            </w: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dB(A)，站址处昼夜噪声能够满足《工业企业厂界环境噪声排放标准》（GB12348-2008）中</w:t>
            </w:r>
            <w:r>
              <w:rPr>
                <w:rFonts w:hint="default" w:ascii="Times New Roman" w:hAnsi="Times New Roman" w:cs="Times New Roman"/>
                <w:color w:val="000000" w:themeColor="text1"/>
                <w:spacing w:val="6"/>
                <w:kern w:val="2"/>
                <w:sz w:val="24"/>
                <w:szCs w:val="24"/>
                <w:highlight w:val="none"/>
                <w:u w:val="single"/>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类标准限值要求</w:t>
            </w:r>
            <w:r>
              <w:rPr>
                <w:rFonts w:hint="default" w:ascii="Times New Roman" w:hAnsi="Times New Roman" w:eastAsia="TimesNewRomanPSMT" w:cs="Times New Roman"/>
                <w:color w:val="000000" w:themeColor="text1"/>
                <w:sz w:val="24"/>
                <w:szCs w:val="24"/>
                <w:u w:val="single"/>
                <w14:textFill>
                  <w14:solidFill>
                    <w14:schemeClr w14:val="tx1"/>
                  </w14:solidFill>
                </w14:textFill>
              </w:rPr>
              <w:t>[</w:t>
            </w:r>
            <w:r>
              <w:rPr>
                <w:rFonts w:hint="default" w:ascii="Times New Roman" w:hAnsi="Times New Roman" w:eastAsia="宋体" w:cs="Times New Roman"/>
                <w:color w:val="000000" w:themeColor="text1"/>
                <w:sz w:val="24"/>
                <w:szCs w:val="24"/>
                <w:u w:val="single"/>
                <w14:textFill>
                  <w14:solidFill>
                    <w14:schemeClr w14:val="tx1"/>
                  </w14:solidFill>
                </w14:textFill>
              </w:rPr>
              <w:t>昼间</w:t>
            </w:r>
            <w:r>
              <w:rPr>
                <w:rFonts w:hint="default" w:ascii="Times New Roman" w:hAnsi="Times New Roman" w:eastAsia="TimesNewRomanPSMT" w:cs="Times New Roman"/>
                <w:color w:val="000000" w:themeColor="text1"/>
                <w:sz w:val="24"/>
                <w:szCs w:val="24"/>
                <w:u w:val="single"/>
                <w14:textFill>
                  <w14:solidFill>
                    <w14:schemeClr w14:val="tx1"/>
                  </w14:solidFill>
                </w14:textFill>
              </w:rPr>
              <w:t>60dB(A)</w:t>
            </w:r>
            <w:r>
              <w:rPr>
                <w:rFonts w:hint="default" w:ascii="Times New Roman" w:hAnsi="Times New Roman" w:eastAsia="宋体" w:cs="Times New Roman"/>
                <w:color w:val="000000" w:themeColor="text1"/>
                <w:sz w:val="24"/>
                <w:szCs w:val="24"/>
                <w:u w:val="single"/>
                <w14:textFill>
                  <w14:solidFill>
                    <w14:schemeClr w14:val="tx1"/>
                  </w14:solidFill>
                </w14:textFill>
              </w:rPr>
              <w:t>、夜间</w:t>
            </w:r>
            <w:r>
              <w:rPr>
                <w:rFonts w:hint="default" w:ascii="Times New Roman" w:hAnsi="Times New Roman" w:eastAsia="TimesNewRomanPSMT" w:cs="Times New Roman"/>
                <w:color w:val="000000" w:themeColor="text1"/>
                <w:sz w:val="24"/>
                <w:szCs w:val="24"/>
                <w:u w:val="single"/>
                <w14:textFill>
                  <w14:solidFill>
                    <w14:schemeClr w14:val="tx1"/>
                  </w14:solidFill>
                </w14:textFill>
              </w:rPr>
              <w:t>50dB(A)]</w:t>
            </w:r>
            <w:r>
              <w:rPr>
                <w:rFonts w:hint="default" w:ascii="Times New Roman" w:hAnsi="Times New Roman" w:eastAsia="宋体" w:cs="Times New Roman"/>
                <w:color w:val="000000" w:themeColor="text1"/>
                <w:spacing w:val="6"/>
                <w:kern w:val="2"/>
                <w:sz w:val="24"/>
                <w:szCs w:val="24"/>
                <w:highlight w:val="none"/>
                <w:u w:val="single"/>
                <w:lang w:val="en-US" w:eastAsia="zh-CN" w:bidi="ar-SA"/>
                <w14:textFill>
                  <w14:solidFill>
                    <w14:schemeClr w14:val="tx1"/>
                  </w14:solidFill>
                </w14:textFill>
              </w:rPr>
              <w:t>。噪声经距离衰减后对外环境影响进一步降低。</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color w:val="000000" w:themeColor="text1"/>
                <w:sz w:val="24"/>
                <w:szCs w:val="24"/>
                <w14:textFill>
                  <w14:solidFill>
                    <w14:schemeClr w14:val="tx1"/>
                  </w14:solidFill>
                </w14:textFill>
              </w:rPr>
              <w:t>固体废物影响分析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14:textFill>
                  <w14:solidFill>
                    <w14:schemeClr w14:val="tx1"/>
                  </w14:solidFill>
                </w14:textFill>
              </w:rPr>
              <w:t>本项目运营期产生的固体废物</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废铅酸蓄电池</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single"/>
                <w14:textFill>
                  <w14:solidFill>
                    <w14:schemeClr w14:val="tx1"/>
                  </w14:solidFill>
                </w14:textFill>
              </w:rPr>
              <w:t>事故废油</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废变压器油</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以员工</w:t>
            </w:r>
            <w:r>
              <w:rPr>
                <w:rFonts w:hint="default" w:ascii="Times New Roman" w:hAnsi="Times New Roman" w:eastAsia="宋体" w:cs="Times New Roman"/>
                <w:color w:val="000000" w:themeColor="text1"/>
                <w:sz w:val="24"/>
                <w:szCs w:val="24"/>
                <w:u w:val="single"/>
                <w14:textFill>
                  <w14:solidFill>
                    <w14:schemeClr w14:val="tx1"/>
                  </w14:solidFill>
                </w14:textFill>
              </w:rPr>
              <w:t>生活垃圾。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u w:val="singl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）废铅酸蓄电池</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升压站直流系统设置2组220V、300Ah阀控式密封铅酸蓄电池（单体2V，容量300Ah，电池104只/组），每只蓄电池重约10kg，正常情况下铅蓄电池8-10年更换一次，一次更换一批，废铅酸蓄电池产生量约2.08t/次。对照《国家危险废物名录》（2021 年版），废弃的铅蓄电池属于危险废物，废物类别为“HW31含铅废物”废物代码为900-052-31。当铅蓄电池使用寿命结束后，废旧蓄电池交由有资质单位处理，严禁随意丢弃。</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u w:val="singl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）废变压器油</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根据建设方提供的资料，变压器油设备设计使用年限为25年，一般无需更换，定期（一年一次或大修后）作预防性试验，通过对绝缘电阻、吸收比、极化指数、介质损耗、绕组泄漏电流、油中微水等综合分析，综合判断受潮情况、杂质情况、油老化情况等，如果不合格，由售后厂家过滤再生后继续使用），也不会外泄对环境造成危害。正常情况不会产生废变压器油，</w:t>
            </w:r>
            <w:r>
              <w:rPr>
                <w:rFonts w:hint="default" w:ascii="Times New Roman" w:hAnsi="Times New Roman" w:cs="Times New Roman"/>
                <w:b w:val="0"/>
                <w:bCs/>
                <w:color w:val="000000" w:themeColor="text1"/>
                <w:sz w:val="24"/>
                <w:szCs w:val="24"/>
                <w:u w:val="single"/>
                <w:lang w:val="en-US" w:eastAsia="zh-CN"/>
                <w14:textFill>
                  <w14:solidFill>
                    <w14:schemeClr w14:val="tx1"/>
                  </w14:solidFill>
                </w14:textFill>
              </w:rPr>
              <w:t>但在设备发生事故并失控时可能泄露，污染环境造成环境风险。根据</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《国家危险废物名录（2021 年版）》</w:t>
            </w:r>
            <w:r>
              <w:rPr>
                <w:rFonts w:hint="default" w:ascii="Times New Roman" w:hAnsi="Times New Roman" w:cs="Times New Roman"/>
                <w:b w:val="0"/>
                <w:bCs/>
                <w:color w:val="000000" w:themeColor="text1"/>
                <w:sz w:val="24"/>
                <w:szCs w:val="24"/>
                <w:u w:val="singl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事故废油废物类别为“HW08 废矿物油与含矿物油废物”，废物代码为“900-220-08”，</w:t>
            </w:r>
            <w:r>
              <w:rPr>
                <w:rFonts w:hint="default" w:ascii="Times New Roman" w:hAnsi="Times New Roman" w:cs="Times New Roman"/>
                <w:b w:val="0"/>
                <w:bCs/>
                <w:color w:val="000000" w:themeColor="text1"/>
                <w:sz w:val="24"/>
                <w:szCs w:val="24"/>
                <w:u w:val="single"/>
                <w:lang w:val="en-US" w:eastAsia="zh-CN"/>
                <w14:textFill>
                  <w14:solidFill>
                    <w14:schemeClr w14:val="tx1"/>
                  </w14:solidFill>
                </w14:textFill>
              </w:rPr>
              <w:t>危险特性为毒性和易燃性（T，I）</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本项目升压站设置1 台150MVA 变压器作为主变压器，主变压器内变压油储量约40t，变压油密度为895kg/m</w:t>
            </w:r>
            <w:r>
              <w:rPr>
                <w:rFonts w:hint="default" w:ascii="Times New Roman" w:hAnsi="Times New Roman" w:eastAsia="宋体" w:cs="Times New Roman"/>
                <w:b w:val="0"/>
                <w:bCs/>
                <w:color w:val="000000" w:themeColor="text1"/>
                <w:sz w:val="24"/>
                <w:szCs w:val="24"/>
                <w:u w:val="singl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，则主变变压油储量约为44.69m</w:t>
            </w:r>
            <w:r>
              <w:rPr>
                <w:rFonts w:hint="default" w:ascii="Times New Roman" w:hAnsi="Times New Roman" w:eastAsia="宋体" w:cs="Times New Roman"/>
                <w:b w:val="0"/>
                <w:bCs/>
                <w:color w:val="000000" w:themeColor="text1"/>
                <w:sz w:val="24"/>
                <w:szCs w:val="24"/>
                <w:u w:val="singl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。当变压器发生事故时，变压油排入主变区内设置的事故油池（容积为50m</w:t>
            </w:r>
            <w:r>
              <w:rPr>
                <w:rFonts w:hint="default" w:ascii="Times New Roman" w:hAnsi="Times New Roman" w:eastAsia="宋体" w:cs="Times New Roman"/>
                <w:b w:val="0"/>
                <w:bCs/>
                <w:color w:val="000000" w:themeColor="text1"/>
                <w:sz w:val="24"/>
                <w:szCs w:val="24"/>
                <w:u w:val="singl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）内，事故状态下最大排油量为44.69m</w:t>
            </w:r>
            <w:r>
              <w:rPr>
                <w:rFonts w:hint="default" w:ascii="Times New Roman" w:hAnsi="Times New Roman" w:eastAsia="宋体" w:cs="Times New Roman"/>
                <w:b w:val="0"/>
                <w:bCs/>
                <w:color w:val="000000" w:themeColor="text1"/>
                <w:sz w:val="24"/>
                <w:szCs w:val="24"/>
                <w:u w:val="singl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，故事故油池容积能满足事故排油要求。发生事故的情况下，泄露变压器油排入池中</w:t>
            </w:r>
            <w:r>
              <w:rPr>
                <w:rFonts w:hint="default" w:ascii="Times New Roman" w:hAnsi="Times New Roman" w:cs="Times New Roman"/>
                <w:b w:val="0"/>
                <w:bCs/>
                <w:color w:val="000000" w:themeColor="text1"/>
                <w:sz w:val="24"/>
                <w:szCs w:val="24"/>
                <w:u w:val="singl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交由有资质的单位进行处理。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事故油池防渗要求：事故油池须遵守《危险废物贮存污染控制标准》的要求，应满足三防要求，防扬散、防流失、防渗漏。事故油池地面与裙脚要用混凝土防渗建造，且表面无裂隙。边缘设计堵截泄漏的裙脚，地面与裙脚所围建的容积不低于堵截最大容器的最大储量或总储量的五分之一。事故油池</w:t>
            </w:r>
            <w:r>
              <w:rPr>
                <w:rFonts w:hint="default" w:ascii="Times New Roman" w:hAnsi="Times New Roman" w:eastAsia="宋体" w:cs="Times New Roman"/>
                <w:color w:val="000000" w:themeColor="text1"/>
                <w:kern w:val="0"/>
                <w:sz w:val="24"/>
                <w:u w:val="single"/>
                <w:lang w:bidi="ar"/>
                <w14:textFill>
                  <w14:solidFill>
                    <w14:schemeClr w14:val="tx1"/>
                  </w14:solidFill>
                </w14:textFill>
              </w:rPr>
              <w:t>防渗层为至少 1 m 厚黏土层（渗透系数不大于 10</w:t>
            </w:r>
            <w:r>
              <w:rPr>
                <w:rFonts w:hint="default" w:ascii="Times New Roman" w:hAnsi="Times New Roman" w:eastAsia="宋体" w:cs="Times New Roman"/>
                <w:color w:val="000000" w:themeColor="text1"/>
                <w:kern w:val="0"/>
                <w:sz w:val="24"/>
                <w:u w:val="single"/>
                <w:vertAlign w:val="superscript"/>
                <w:lang w:bidi="ar"/>
                <w14:textFill>
                  <w14:solidFill>
                    <w14:schemeClr w14:val="tx1"/>
                  </w14:solidFill>
                </w14:textFill>
              </w:rPr>
              <w:t>-7</w:t>
            </w:r>
            <w:r>
              <w:rPr>
                <w:rFonts w:hint="default" w:ascii="Times New Roman" w:hAnsi="Times New Roman" w:eastAsia="宋体" w:cs="Times New Roman"/>
                <w:color w:val="000000" w:themeColor="text1"/>
                <w:kern w:val="0"/>
                <w:sz w:val="24"/>
                <w:u w:val="single"/>
                <w:lang w:bidi="ar"/>
                <w14:textFill>
                  <w14:solidFill>
                    <w14:schemeClr w14:val="tx1"/>
                  </w14:solidFill>
                </w14:textFill>
              </w:rPr>
              <w:t xml:space="preserve"> cm/s），或至少2 mm 厚高密度聚乙烯膜等人工防渗材料（渗透系数不大于 10</w:t>
            </w:r>
            <w:r>
              <w:rPr>
                <w:rFonts w:hint="default" w:ascii="Times New Roman" w:hAnsi="Times New Roman" w:eastAsia="宋体" w:cs="Times New Roman"/>
                <w:color w:val="000000" w:themeColor="text1"/>
                <w:kern w:val="0"/>
                <w:sz w:val="24"/>
                <w:u w:val="single"/>
                <w:vertAlign w:val="superscript"/>
                <w:lang w:bidi="ar"/>
                <w14:textFill>
                  <w14:solidFill>
                    <w14:schemeClr w14:val="tx1"/>
                  </w14:solidFill>
                </w14:textFill>
              </w:rPr>
              <w:t>-10</w:t>
            </w:r>
            <w:r>
              <w:rPr>
                <w:rFonts w:hint="default" w:ascii="Times New Roman" w:hAnsi="Times New Roman" w:eastAsia="宋体" w:cs="Times New Roman"/>
                <w:color w:val="000000" w:themeColor="text1"/>
                <w:kern w:val="0"/>
                <w:sz w:val="24"/>
                <w:u w:val="single"/>
                <w:lang w:bidi="ar"/>
                <w14:textFill>
                  <w14:solidFill>
                    <w14:schemeClr w14:val="tx1"/>
                  </w14:solidFill>
                </w14:textFill>
              </w:rPr>
              <w:t xml:space="preserve"> cm/s），或其他防渗性能等效的材料。</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u w:val="singl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）生活垃圾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本项目运营期年工作365 天，升压站常驻人员共</w:t>
            </w:r>
            <w:r>
              <w:rPr>
                <w:rFonts w:hint="eastAsia" w:cs="Times New Roman"/>
                <w:b w:val="0"/>
                <w:bCs/>
                <w:color w:val="000000" w:themeColor="text1"/>
                <w:sz w:val="24"/>
                <w:szCs w:val="24"/>
                <w:u w:val="singl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 xml:space="preserve"> 人，常驻人员位于升压站内食宿，生活垃圾产生量按 1.0kg（/ 人·d）计，则员工生活垃圾产生量为 </w:t>
            </w:r>
            <w:r>
              <w:rPr>
                <w:rFonts w:hint="eastAsia" w:cs="Times New Roman"/>
                <w:b w:val="0"/>
                <w:bCs/>
                <w:color w:val="000000" w:themeColor="text1"/>
                <w:sz w:val="24"/>
                <w:szCs w:val="24"/>
                <w:u w:val="singl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kg/d、</w:t>
            </w:r>
            <w:r>
              <w:rPr>
                <w:rFonts w:hint="eastAsia" w:cs="Times New Roman"/>
                <w:b w:val="0"/>
                <w:bCs/>
                <w:color w:val="000000" w:themeColor="text1"/>
                <w:sz w:val="24"/>
                <w:szCs w:val="24"/>
                <w:u w:val="single"/>
                <w:lang w:val="en-US" w:eastAsia="zh-CN"/>
                <w14:textFill>
                  <w14:solidFill>
                    <w14:schemeClr w14:val="tx1"/>
                  </w14:solidFill>
                </w14:textFill>
              </w:rPr>
              <w:t>1.46</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t/a。生活垃圾集中收集于垃圾桶内，定期清运至周边村庄，依托当地生活垃圾收集处理设施处理。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14:textFill>
                  <w14:solidFill>
                    <w14:schemeClr w14:val="tx1"/>
                  </w14:solidFill>
                </w14:textFill>
              </w:rPr>
              <w:t>（</w:t>
            </w:r>
            <w:r>
              <w:rPr>
                <w:rFonts w:hint="eastAsia" w:cs="Times New Roman"/>
                <w:color w:val="000000" w:themeColor="text1"/>
                <w:sz w:val="24"/>
                <w:szCs w:val="24"/>
                <w:u w:val="singl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u w:val="single"/>
                <w14:textFill>
                  <w14:solidFill>
                    <w14:schemeClr w14:val="tx1"/>
                  </w14:solidFill>
                </w14:textFill>
              </w:rPr>
              <w:t>）固体废物产排汇总清单</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u w:val="single"/>
                <w14:textFill>
                  <w14:solidFill>
                    <w14:schemeClr w14:val="tx1"/>
                  </w14:solidFill>
                </w14:textFill>
              </w:rPr>
            </w:pPr>
            <w:r>
              <w:rPr>
                <w:rFonts w:hint="default" w:ascii="Times New Roman" w:hAnsi="Times New Roman" w:eastAsia="宋体" w:cs="Times New Roman"/>
                <w:b/>
                <w:color w:val="000000" w:themeColor="text1"/>
                <w:sz w:val="21"/>
                <w:szCs w:val="21"/>
                <w:u w:val="single"/>
                <w14:textFill>
                  <w14:solidFill>
                    <w14:schemeClr w14:val="tx1"/>
                  </w14:solidFill>
                </w14:textFill>
              </w:rPr>
              <w:t>表4-</w:t>
            </w:r>
            <w:r>
              <w:rPr>
                <w:rFonts w:hint="eastAsia" w:ascii="Times New Roman" w:hAnsi="Times New Roman" w:eastAsia="宋体" w:cs="Times New Roman"/>
                <w:b/>
                <w:color w:val="000000" w:themeColor="text1"/>
                <w:sz w:val="21"/>
                <w:szCs w:val="21"/>
                <w:u w:val="single"/>
                <w:lang w:val="en-US" w:eastAsia="zh-CN"/>
                <w14:textFill>
                  <w14:solidFill>
                    <w14:schemeClr w14:val="tx1"/>
                  </w14:solidFill>
                </w14:textFill>
              </w:rPr>
              <w:t>3</w:t>
            </w:r>
            <w:r>
              <w:rPr>
                <w:rFonts w:hint="default" w:ascii="Times New Roman" w:hAnsi="Times New Roman" w:eastAsia="宋体" w:cs="Times New Roman"/>
                <w:b/>
                <w:color w:val="000000" w:themeColor="text1"/>
                <w:sz w:val="21"/>
                <w:szCs w:val="21"/>
                <w:u w:val="singl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u w:val="single"/>
                <w14:textFill>
                  <w14:solidFill>
                    <w14:schemeClr w14:val="tx1"/>
                  </w14:solidFill>
                </w14:textFill>
              </w:rPr>
              <w:t>固体废物污染源源强核算结果及相关参数一览表</w:t>
            </w:r>
          </w:p>
          <w:tbl>
            <w:tblPr>
              <w:tblStyle w:val="22"/>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28"/>
              <w:gridCol w:w="1299"/>
              <w:gridCol w:w="1072"/>
              <w:gridCol w:w="1249"/>
              <w:gridCol w:w="807"/>
              <w:gridCol w:w="991"/>
              <w:gridCol w:w="15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6" w:hRule="atLeast"/>
              </w:trPr>
              <w:tc>
                <w:tcPr>
                  <w:tcW w:w="47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u w:val="single"/>
                      <w14:textFill>
                        <w14:solidFill>
                          <w14:schemeClr w14:val="tx1"/>
                        </w14:solidFill>
                      </w14:textFill>
                    </w:rPr>
                  </w:pPr>
                  <w:r>
                    <w:rPr>
                      <w:rFonts w:hint="default" w:ascii="Times New Roman" w:hAnsi="Times New Roman" w:eastAsia="宋体" w:cs="Times New Roman"/>
                      <w:b/>
                      <w:color w:val="000000" w:themeColor="text1"/>
                      <w:sz w:val="21"/>
                      <w:szCs w:val="21"/>
                      <w:u w:val="single"/>
                      <w14:textFill>
                        <w14:solidFill>
                          <w14:schemeClr w14:val="tx1"/>
                        </w14:solidFill>
                      </w14:textFill>
                    </w:rPr>
                    <w:t>产生</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b/>
                      <w:color w:val="000000" w:themeColor="text1"/>
                      <w:sz w:val="21"/>
                      <w:szCs w:val="21"/>
                      <w:u w:val="single"/>
                      <w:lang w:eastAsia="zh-CN"/>
                      <w14:textFill>
                        <w14:solidFill>
                          <w14:schemeClr w14:val="tx1"/>
                        </w14:solidFill>
                      </w14:textFill>
                    </w:rPr>
                    <w:t>环节</w:t>
                  </w:r>
                </w:p>
              </w:tc>
              <w:tc>
                <w:tcPr>
                  <w:tcW w:w="84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u w:val="single"/>
                      <w14:textFill>
                        <w14:solidFill>
                          <w14:schemeClr w14:val="tx1"/>
                        </w14:solidFill>
                      </w14:textFill>
                    </w:rPr>
                  </w:pPr>
                  <w:r>
                    <w:rPr>
                      <w:rFonts w:hint="default" w:ascii="Times New Roman" w:hAnsi="Times New Roman" w:eastAsia="宋体" w:cs="Times New Roman"/>
                      <w:b/>
                      <w:color w:val="000000" w:themeColor="text1"/>
                      <w:sz w:val="21"/>
                      <w:szCs w:val="21"/>
                      <w:u w:val="single"/>
                      <w14:textFill>
                        <w14:solidFill>
                          <w14:schemeClr w14:val="tx1"/>
                        </w14:solidFill>
                      </w14:textFill>
                    </w:rPr>
                    <w:t>固体废物名称</w:t>
                  </w:r>
                </w:p>
              </w:tc>
              <w:tc>
                <w:tcPr>
                  <w:tcW w:w="69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u w:val="single"/>
                      <w14:textFill>
                        <w14:solidFill>
                          <w14:schemeClr w14:val="tx1"/>
                        </w14:solidFill>
                      </w14:textFill>
                    </w:rPr>
                  </w:pPr>
                  <w:r>
                    <w:rPr>
                      <w:rFonts w:hint="default" w:ascii="Times New Roman" w:hAnsi="Times New Roman" w:eastAsia="宋体" w:cs="Times New Roman"/>
                      <w:b/>
                      <w:color w:val="000000" w:themeColor="text1"/>
                      <w:sz w:val="21"/>
                      <w:szCs w:val="21"/>
                      <w:u w:val="single"/>
                      <w14:textFill>
                        <w14:solidFill>
                          <w14:schemeClr w14:val="tx1"/>
                        </w14:solidFill>
                      </w14:textFill>
                    </w:rPr>
                    <w:t>固废属性</w:t>
                  </w:r>
                </w:p>
              </w:tc>
              <w:tc>
                <w:tcPr>
                  <w:tcW w:w="808" w:type="pct"/>
                  <w:noWrap w:val="0"/>
                  <w:vAlign w:val="center"/>
                </w:tcPr>
                <w:p>
                  <w:pPr>
                    <w:pStyle w:val="53"/>
                    <w:keepNext w:val="0"/>
                    <w:keepLines w:val="0"/>
                    <w:suppressLineNumbers w:val="0"/>
                    <w:spacing w:before="0" w:beforeAutospacing="0" w:after="0" w:afterAutospacing="0"/>
                    <w:ind w:left="0" w:right="0"/>
                    <w:rPr>
                      <w:rFonts w:hint="default" w:ascii="Times New Roman" w:hAnsi="Times New Roman" w:eastAsia="宋体" w:cs="Times New Roman"/>
                      <w:b/>
                      <w:color w:val="000000" w:themeColor="text1"/>
                      <w:sz w:val="21"/>
                      <w:szCs w:val="21"/>
                      <w:u w:val="single"/>
                      <w:lang w:val="en-US" w:bidi="ar-SA"/>
                      <w14:textFill>
                        <w14:solidFill>
                          <w14:schemeClr w14:val="tx1"/>
                        </w14:solidFill>
                      </w14:textFill>
                    </w:rPr>
                  </w:pPr>
                  <w:r>
                    <w:rPr>
                      <w:rFonts w:hint="default" w:ascii="Times New Roman" w:hAnsi="Times New Roman" w:eastAsia="宋体" w:cs="Times New Roman"/>
                      <w:b/>
                      <w:color w:val="000000" w:themeColor="text1"/>
                      <w:sz w:val="21"/>
                      <w:szCs w:val="21"/>
                      <w:u w:val="single"/>
                      <w:lang w:val="en-US" w:bidi="ar-SA"/>
                      <w14:textFill>
                        <w14:solidFill>
                          <w14:schemeClr w14:val="tx1"/>
                        </w14:solidFill>
                      </w14:textFill>
                    </w:rPr>
                    <w:t>产生量</w:t>
                  </w:r>
                </w:p>
              </w:tc>
              <w:tc>
                <w:tcPr>
                  <w:tcW w:w="5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b/>
                      <w:color w:val="000000" w:themeColor="text1"/>
                      <w:sz w:val="21"/>
                      <w:szCs w:val="21"/>
                      <w:u w:val="single"/>
                      <w:lang w:eastAsia="zh-CN"/>
                      <w14:textFill>
                        <w14:solidFill>
                          <w14:schemeClr w14:val="tx1"/>
                        </w14:solidFill>
                      </w14:textFill>
                    </w:rPr>
                    <w:t>贮存</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u w:val="single"/>
                      <w:lang w:eastAsia="zh-CN"/>
                      <w14:textFill>
                        <w14:solidFill>
                          <w14:schemeClr w14:val="tx1"/>
                        </w14:solidFill>
                      </w14:textFill>
                    </w:rPr>
                  </w:pPr>
                  <w:r>
                    <w:rPr>
                      <w:rFonts w:hint="eastAsia" w:ascii="Times New Roman" w:hAnsi="Times New Roman" w:eastAsia="宋体" w:cs="Times New Roman"/>
                      <w:b/>
                      <w:color w:val="000000" w:themeColor="text1"/>
                      <w:sz w:val="21"/>
                      <w:szCs w:val="21"/>
                      <w:u w:val="single"/>
                      <w:lang w:eastAsia="zh-CN"/>
                      <w14:textFill>
                        <w14:solidFill>
                          <w14:schemeClr w14:val="tx1"/>
                        </w14:solidFill>
                      </w14:textFill>
                    </w:rPr>
                    <w:t>位置</w:t>
                  </w:r>
                </w:p>
              </w:tc>
              <w:tc>
                <w:tcPr>
                  <w:tcW w:w="6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b/>
                      <w:color w:val="000000" w:themeColor="text1"/>
                      <w:sz w:val="21"/>
                      <w:szCs w:val="21"/>
                      <w:u w:val="single"/>
                      <w:lang w:eastAsia="zh-CN"/>
                      <w14:textFill>
                        <w14:solidFill>
                          <w14:schemeClr w14:val="tx1"/>
                        </w14:solidFill>
                      </w14:textFill>
                    </w:rPr>
                    <w:t>利用或处置量</w:t>
                  </w:r>
                </w:p>
              </w:tc>
              <w:tc>
                <w:tcPr>
                  <w:tcW w:w="10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u w:val="single"/>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14:textFill>
                        <w14:solidFill>
                          <w14:schemeClr w14:val="tx1"/>
                        </w14:solidFill>
                      </w14:textFill>
                    </w:rPr>
                    <w:t>利用处置方式和去向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47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员工</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生活</w:t>
                  </w:r>
                </w:p>
              </w:tc>
              <w:tc>
                <w:tcPr>
                  <w:tcW w:w="84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生活垃圾</w:t>
                  </w:r>
                </w:p>
              </w:tc>
              <w:tc>
                <w:tcPr>
                  <w:tcW w:w="69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一般固体</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废物</w:t>
                  </w:r>
                </w:p>
              </w:tc>
              <w:tc>
                <w:tcPr>
                  <w:tcW w:w="808" w:type="pct"/>
                  <w:noWrap w:val="0"/>
                  <w:vAlign w:val="center"/>
                </w:tcPr>
                <w:p>
                  <w:pPr>
                    <w:pStyle w:val="53"/>
                    <w:keepNext w:val="0"/>
                    <w:keepLines w:val="0"/>
                    <w:suppressLineNumbers w:val="0"/>
                    <w:spacing w:before="0" w:beforeAutospacing="0" w:after="0" w:afterAutospacing="0"/>
                    <w:ind w:left="0" w:right="0"/>
                    <w:rPr>
                      <w:rFonts w:hint="default" w:ascii="Times New Roman" w:hAnsi="Times New Roman" w:eastAsia="宋体" w:cs="Times New Roman"/>
                      <w:b w:val="0"/>
                      <w:bCs/>
                      <w:color w:val="000000" w:themeColor="text1"/>
                      <w:sz w:val="21"/>
                      <w:szCs w:val="21"/>
                      <w:u w:val="singl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u w:val="single"/>
                      <w:lang w:val="en-US" w:eastAsia="zh-CN" w:bidi="ar-SA"/>
                      <w14:textFill>
                        <w14:solidFill>
                          <w14:schemeClr w14:val="tx1"/>
                        </w14:solidFill>
                      </w14:textFill>
                    </w:rPr>
                    <w:t xml:space="preserve">1.46 </w:t>
                  </w:r>
                  <w:r>
                    <w:rPr>
                      <w:rFonts w:hint="default" w:ascii="Times New Roman" w:hAnsi="Times New Roman" w:eastAsia="宋体" w:cs="Times New Roman"/>
                      <w:b w:val="0"/>
                      <w:bCs/>
                      <w:color w:val="000000" w:themeColor="text1"/>
                      <w:sz w:val="21"/>
                      <w:szCs w:val="21"/>
                      <w:u w:val="single"/>
                      <w:lang w:val="en-US" w:eastAsia="zh-CN" w:bidi="ar-SA"/>
                      <w14:textFill>
                        <w14:solidFill>
                          <w14:schemeClr w14:val="tx1"/>
                        </w14:solidFill>
                      </w14:textFill>
                    </w:rPr>
                    <w:t>t/a</w:t>
                  </w:r>
                </w:p>
              </w:tc>
              <w:tc>
                <w:tcPr>
                  <w:tcW w:w="5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u w:val="single"/>
                      <w:lang w:val="en-US" w:eastAsia="zh-CN"/>
                      <w14:textFill>
                        <w14:solidFill>
                          <w14:schemeClr w14:val="tx1"/>
                        </w14:solidFill>
                      </w14:textFill>
                    </w:rPr>
                    <w:t>垃圾桶</w:t>
                  </w:r>
                </w:p>
              </w:tc>
              <w:tc>
                <w:tcPr>
                  <w:tcW w:w="6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lang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u w:val="single"/>
                      <w:lang w:val="en-US" w:eastAsia="zh-CN" w:bidi="ar-SA"/>
                      <w14:textFill>
                        <w14:solidFill>
                          <w14:schemeClr w14:val="tx1"/>
                        </w14:solidFill>
                      </w14:textFill>
                    </w:rPr>
                    <w:t xml:space="preserve">1.46 </w:t>
                  </w:r>
                  <w:r>
                    <w:rPr>
                      <w:rFonts w:hint="default" w:ascii="Times New Roman" w:hAnsi="Times New Roman" w:eastAsia="宋体" w:cs="Times New Roman"/>
                      <w:b w:val="0"/>
                      <w:bCs/>
                      <w:color w:val="000000" w:themeColor="text1"/>
                      <w:sz w:val="21"/>
                      <w:szCs w:val="21"/>
                      <w:u w:val="single"/>
                      <w:lang w:val="en-US" w:eastAsia="zh-CN" w:bidi="ar-SA"/>
                      <w14:textFill>
                        <w14:solidFill>
                          <w14:schemeClr w14:val="tx1"/>
                        </w14:solidFill>
                      </w14:textFill>
                    </w:rPr>
                    <w:t>t/a</w:t>
                  </w:r>
                </w:p>
              </w:tc>
              <w:tc>
                <w:tcPr>
                  <w:tcW w:w="10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single"/>
                      <w14:textFill>
                        <w14:solidFill>
                          <w14:schemeClr w14:val="tx1"/>
                        </w14:solidFill>
                      </w14:textFill>
                    </w:rPr>
                    <w:t>依托当地生活垃圾收集处理设施处理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6" w:hRule="atLeast"/>
              </w:trPr>
              <w:tc>
                <w:tcPr>
                  <w:tcW w:w="471"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运营期</w:t>
                  </w:r>
                </w:p>
              </w:tc>
              <w:tc>
                <w:tcPr>
                  <w:tcW w:w="84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废铅酸蓄电池</w:t>
                  </w:r>
                </w:p>
              </w:tc>
              <w:tc>
                <w:tcPr>
                  <w:tcW w:w="69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危险废物</w:t>
                  </w:r>
                </w:p>
              </w:tc>
              <w:tc>
                <w:tcPr>
                  <w:tcW w:w="8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2.08t/次</w:t>
                  </w:r>
                  <w: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t>（8~10年/次）</w:t>
                  </w:r>
                </w:p>
              </w:tc>
              <w:tc>
                <w:tcPr>
                  <w:tcW w:w="5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single"/>
                      <w:lang w:eastAsia="zh-CN"/>
                      <w14:textFill>
                        <w14:solidFill>
                          <w14:schemeClr w14:val="tx1"/>
                        </w14:solidFill>
                      </w14:textFill>
                    </w:rPr>
                    <w:t>危废暂存间</w:t>
                  </w:r>
                </w:p>
              </w:tc>
              <w:tc>
                <w:tcPr>
                  <w:tcW w:w="6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2.08t/次</w:t>
                  </w:r>
                </w:p>
              </w:tc>
              <w:tc>
                <w:tcPr>
                  <w:tcW w:w="1022"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交由有危险废物处理资质的单位处理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39" w:hRule="atLeast"/>
              </w:trPr>
              <w:tc>
                <w:tcPr>
                  <w:tcW w:w="47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p>
              </w:tc>
              <w:tc>
                <w:tcPr>
                  <w:tcW w:w="84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废变压器油</w:t>
                  </w:r>
                </w:p>
              </w:tc>
              <w:tc>
                <w:tcPr>
                  <w:tcW w:w="69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危险废物</w:t>
                  </w:r>
                </w:p>
              </w:tc>
              <w:tc>
                <w:tcPr>
                  <w:tcW w:w="8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single"/>
                      <w:lang w:val="en-US" w:eastAsia="zh-CN"/>
                      <w14:textFill>
                        <w14:solidFill>
                          <w14:schemeClr w14:val="tx1"/>
                        </w14:solidFill>
                      </w14:textFill>
                    </w:rPr>
                    <w:t>事故时最大排油量40t</w:t>
                  </w:r>
                </w:p>
              </w:tc>
              <w:tc>
                <w:tcPr>
                  <w:tcW w:w="522"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u w:val="singl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single"/>
                      <w:lang w:eastAsia="zh-CN"/>
                      <w14:textFill>
                        <w14:solidFill>
                          <w14:schemeClr w14:val="tx1"/>
                        </w14:solidFill>
                      </w14:textFill>
                    </w:rPr>
                    <w:t>事故</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single"/>
                      <w:lang w:eastAsia="zh-CN"/>
                      <w14:textFill>
                        <w14:solidFill>
                          <w14:schemeClr w14:val="tx1"/>
                        </w14:solidFill>
                      </w14:textFill>
                    </w:rPr>
                    <w:t>油池</w:t>
                  </w:r>
                </w:p>
              </w:tc>
              <w:tc>
                <w:tcPr>
                  <w:tcW w:w="6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val="en-US"/>
                      <w14:textFill>
                        <w14:solidFill>
                          <w14:schemeClr w14:val="tx1"/>
                        </w14:solidFill>
                      </w14:textFill>
                    </w:rPr>
                  </w:pPr>
                  <w:r>
                    <w:rPr>
                      <w:rFonts w:hint="eastAsia" w:ascii="Times New Roman" w:hAnsi="Times New Roman" w:eastAsia="宋体" w:cs="Times New Roman"/>
                      <w:color w:val="000000" w:themeColor="text1"/>
                      <w:kern w:val="0"/>
                      <w:sz w:val="21"/>
                      <w:szCs w:val="21"/>
                      <w:u w:val="single"/>
                      <w:lang w:val="en-US" w:eastAsia="zh-CN"/>
                      <w14:textFill>
                        <w14:solidFill>
                          <w14:schemeClr w14:val="tx1"/>
                        </w14:solidFill>
                      </w14:textFill>
                    </w:rPr>
                    <w:t>40t</w:t>
                  </w:r>
                </w:p>
              </w:tc>
              <w:tc>
                <w:tcPr>
                  <w:tcW w:w="102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p>
              </w:tc>
            </w:tr>
          </w:tbl>
          <w:p>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240" w:lineRule="auto"/>
              <w:ind w:left="0" w:right="0"/>
              <w:jc w:val="center"/>
              <w:textAlignment w:val="auto"/>
              <w:rPr>
                <w:rFonts w:hint="default" w:ascii="Times New Roman" w:hAnsi="Times New Roman" w:eastAsia="宋体" w:cs="Times New Roman"/>
                <w:b/>
                <w:color w:val="000000" w:themeColor="text1"/>
                <w:sz w:val="21"/>
                <w:szCs w:val="21"/>
                <w:u w:val="single"/>
                <w14:textFill>
                  <w14:solidFill>
                    <w14:schemeClr w14:val="tx1"/>
                  </w14:solidFill>
                </w14:textFill>
              </w:rPr>
            </w:pPr>
            <w:r>
              <w:rPr>
                <w:rFonts w:hint="default" w:ascii="Times New Roman" w:hAnsi="Times New Roman" w:eastAsia="宋体" w:cs="Times New Roman"/>
                <w:b/>
                <w:color w:val="000000" w:themeColor="text1"/>
                <w:sz w:val="21"/>
                <w:szCs w:val="21"/>
                <w:u w:val="single"/>
                <w14:textFill>
                  <w14:solidFill>
                    <w14:schemeClr w14:val="tx1"/>
                  </w14:solidFill>
                </w14:textFill>
              </w:rPr>
              <w:t>表4-</w:t>
            </w:r>
            <w:r>
              <w:rPr>
                <w:rFonts w:hint="eastAsia" w:ascii="Times New Roman" w:hAnsi="Times New Roman" w:eastAsia="宋体" w:cs="Times New Roman"/>
                <w:b/>
                <w:color w:val="000000" w:themeColor="text1"/>
                <w:sz w:val="21"/>
                <w:szCs w:val="21"/>
                <w:u w:val="single"/>
                <w:lang w:val="en-US" w:eastAsia="zh-CN"/>
                <w14:textFill>
                  <w14:solidFill>
                    <w14:schemeClr w14:val="tx1"/>
                  </w14:solidFill>
                </w14:textFill>
              </w:rPr>
              <w:t>4</w:t>
            </w:r>
            <w:r>
              <w:rPr>
                <w:rFonts w:hint="default" w:ascii="Times New Roman" w:hAnsi="Times New Roman" w:eastAsia="宋体" w:cs="Times New Roman"/>
                <w:b/>
                <w:color w:val="000000" w:themeColor="text1"/>
                <w:sz w:val="21"/>
                <w:szCs w:val="21"/>
                <w:u w:val="singl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u w:val="single"/>
                <w14:textFill>
                  <w14:solidFill>
                    <w14:schemeClr w14:val="tx1"/>
                  </w14:solidFill>
                </w14:textFill>
              </w:rPr>
              <w:t>危险废物产生情况</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2"/>
              <w:gridCol w:w="908"/>
              <w:gridCol w:w="1140"/>
              <w:gridCol w:w="939"/>
              <w:gridCol w:w="455"/>
              <w:gridCol w:w="1114"/>
              <w:gridCol w:w="678"/>
              <w:gridCol w:w="746"/>
              <w:gridCol w:w="8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1" w:hRule="atLeast"/>
                <w:jc w:val="center"/>
              </w:trPr>
              <w:tc>
                <w:tcPr>
                  <w:tcW w:w="57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u w:val="single"/>
                      <w14:textFill>
                        <w14:solidFill>
                          <w14:schemeClr w14:val="tx1"/>
                        </w14:solidFill>
                      </w14:textFill>
                    </w:rPr>
                  </w:pPr>
                  <w:r>
                    <w:rPr>
                      <w:rFonts w:hint="default" w:ascii="Times New Roman" w:hAnsi="Times New Roman" w:eastAsia="宋体" w:cs="Times New Roman"/>
                      <w:b/>
                      <w:bCs/>
                      <w:color w:val="000000" w:themeColor="text1"/>
                      <w:kern w:val="0"/>
                      <w:sz w:val="21"/>
                      <w:szCs w:val="21"/>
                      <w:u w:val="single"/>
                      <w14:textFill>
                        <w14:solidFill>
                          <w14:schemeClr w14:val="tx1"/>
                        </w14:solidFill>
                      </w14:textFill>
                    </w:rPr>
                    <w:t>危险废物名称</w:t>
                  </w:r>
                </w:p>
              </w:tc>
              <w:tc>
                <w:tcPr>
                  <w:tcW w:w="587"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u w:val="single"/>
                      <w14:textFill>
                        <w14:solidFill>
                          <w14:schemeClr w14:val="tx1"/>
                        </w14:solidFill>
                      </w14:textFill>
                    </w:rPr>
                  </w:pPr>
                  <w:r>
                    <w:rPr>
                      <w:rFonts w:hint="default" w:ascii="Times New Roman" w:hAnsi="Times New Roman" w:eastAsia="宋体" w:cs="Times New Roman"/>
                      <w:b/>
                      <w:bCs/>
                      <w:color w:val="000000" w:themeColor="text1"/>
                      <w:kern w:val="0"/>
                      <w:sz w:val="21"/>
                      <w:szCs w:val="21"/>
                      <w:u w:val="single"/>
                      <w14:textFill>
                        <w14:solidFill>
                          <w14:schemeClr w14:val="tx1"/>
                        </w14:solidFill>
                      </w14:textFill>
                    </w:rPr>
                    <w:t>危险废物类别</w:t>
                  </w:r>
                </w:p>
              </w:tc>
              <w:tc>
                <w:tcPr>
                  <w:tcW w:w="737"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u w:val="single"/>
                      <w14:textFill>
                        <w14:solidFill>
                          <w14:schemeClr w14:val="tx1"/>
                        </w14:solidFill>
                      </w14:textFill>
                    </w:rPr>
                  </w:pPr>
                  <w:r>
                    <w:rPr>
                      <w:rFonts w:hint="default" w:ascii="Times New Roman" w:hAnsi="Times New Roman" w:eastAsia="宋体" w:cs="Times New Roman"/>
                      <w:b/>
                      <w:bCs/>
                      <w:color w:val="000000" w:themeColor="text1"/>
                      <w:kern w:val="0"/>
                      <w:sz w:val="21"/>
                      <w:szCs w:val="21"/>
                      <w:u w:val="single"/>
                      <w14:textFill>
                        <w14:solidFill>
                          <w14:schemeClr w14:val="tx1"/>
                        </w14:solidFill>
                      </w14:textFill>
                    </w:rPr>
                    <w:t>危险废物代码</w:t>
                  </w:r>
                </w:p>
              </w:tc>
              <w:tc>
                <w:tcPr>
                  <w:tcW w:w="607"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u w:val="single"/>
                      <w14:textFill>
                        <w14:solidFill>
                          <w14:schemeClr w14:val="tx1"/>
                        </w14:solidFill>
                      </w14:textFill>
                    </w:rPr>
                  </w:pPr>
                  <w:r>
                    <w:rPr>
                      <w:rFonts w:hint="default" w:ascii="Times New Roman" w:hAnsi="Times New Roman" w:eastAsia="宋体" w:cs="Times New Roman"/>
                      <w:b/>
                      <w:bCs/>
                      <w:color w:val="000000" w:themeColor="text1"/>
                      <w:kern w:val="0"/>
                      <w:sz w:val="21"/>
                      <w:szCs w:val="21"/>
                      <w:u w:val="single"/>
                      <w14:textFill>
                        <w14:solidFill>
                          <w14:schemeClr w14:val="tx1"/>
                        </w14:solidFill>
                      </w14:textFill>
                    </w:rPr>
                    <w:t>产生量</w:t>
                  </w:r>
                </w:p>
              </w:tc>
              <w:tc>
                <w:tcPr>
                  <w:tcW w:w="294"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u w:val="single"/>
                      <w14:textFill>
                        <w14:solidFill>
                          <w14:schemeClr w14:val="tx1"/>
                        </w14:solidFill>
                      </w14:textFill>
                    </w:rPr>
                  </w:pPr>
                  <w:r>
                    <w:rPr>
                      <w:rFonts w:hint="default" w:ascii="Times New Roman" w:hAnsi="Times New Roman" w:eastAsia="宋体" w:cs="Times New Roman"/>
                      <w:b/>
                      <w:bCs/>
                      <w:color w:val="000000" w:themeColor="text1"/>
                      <w:kern w:val="0"/>
                      <w:sz w:val="21"/>
                      <w:szCs w:val="21"/>
                      <w:u w:val="single"/>
                      <w14:textFill>
                        <w14:solidFill>
                          <w14:schemeClr w14:val="tx1"/>
                        </w14:solidFill>
                      </w14:textFill>
                    </w:rPr>
                    <w:t>形态</w:t>
                  </w:r>
                </w:p>
              </w:tc>
              <w:tc>
                <w:tcPr>
                  <w:tcW w:w="72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u w:val="single"/>
                      <w14:textFill>
                        <w14:solidFill>
                          <w14:schemeClr w14:val="tx1"/>
                        </w14:solidFill>
                      </w14:textFill>
                    </w:rPr>
                  </w:pPr>
                  <w:r>
                    <w:rPr>
                      <w:rFonts w:hint="default" w:ascii="Times New Roman" w:hAnsi="Times New Roman" w:eastAsia="宋体" w:cs="Times New Roman"/>
                      <w:b/>
                      <w:bCs/>
                      <w:color w:val="000000" w:themeColor="text1"/>
                      <w:kern w:val="0"/>
                      <w:sz w:val="21"/>
                      <w:szCs w:val="21"/>
                      <w:u w:val="single"/>
                      <w14:textFill>
                        <w14:solidFill>
                          <w14:schemeClr w14:val="tx1"/>
                        </w14:solidFill>
                      </w14:textFill>
                    </w:rPr>
                    <w:t>主要</w:t>
                  </w:r>
                </w:p>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u w:val="single"/>
                      <w14:textFill>
                        <w14:solidFill>
                          <w14:schemeClr w14:val="tx1"/>
                        </w14:solidFill>
                      </w14:textFill>
                    </w:rPr>
                  </w:pPr>
                  <w:r>
                    <w:rPr>
                      <w:rFonts w:hint="default" w:ascii="Times New Roman" w:hAnsi="Times New Roman" w:eastAsia="宋体" w:cs="Times New Roman"/>
                      <w:b/>
                      <w:bCs/>
                      <w:color w:val="000000" w:themeColor="text1"/>
                      <w:kern w:val="0"/>
                      <w:sz w:val="21"/>
                      <w:szCs w:val="21"/>
                      <w:u w:val="single"/>
                      <w14:textFill>
                        <w14:solidFill>
                          <w14:schemeClr w14:val="tx1"/>
                        </w14:solidFill>
                      </w14:textFill>
                    </w:rPr>
                    <w:t>有害成分</w:t>
                  </w:r>
                </w:p>
              </w:tc>
              <w:tc>
                <w:tcPr>
                  <w:tcW w:w="43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u w:val="single"/>
                      <w14:textFill>
                        <w14:solidFill>
                          <w14:schemeClr w14:val="tx1"/>
                        </w14:solidFill>
                      </w14:textFill>
                    </w:rPr>
                  </w:pPr>
                  <w:r>
                    <w:rPr>
                      <w:rFonts w:hint="default" w:ascii="Times New Roman" w:hAnsi="Times New Roman" w:eastAsia="宋体" w:cs="Times New Roman"/>
                      <w:b/>
                      <w:bCs/>
                      <w:color w:val="000000" w:themeColor="text1"/>
                      <w:kern w:val="0"/>
                      <w:sz w:val="21"/>
                      <w:szCs w:val="21"/>
                      <w:u w:val="single"/>
                      <w14:textFill>
                        <w14:solidFill>
                          <w14:schemeClr w14:val="tx1"/>
                        </w14:solidFill>
                      </w14:textFill>
                    </w:rPr>
                    <w:t>产废周期</w:t>
                  </w:r>
                </w:p>
              </w:tc>
              <w:tc>
                <w:tcPr>
                  <w:tcW w:w="482"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u w:val="single"/>
                      <w14:textFill>
                        <w14:solidFill>
                          <w14:schemeClr w14:val="tx1"/>
                        </w14:solidFill>
                      </w14:textFill>
                    </w:rPr>
                  </w:pPr>
                  <w:r>
                    <w:rPr>
                      <w:rFonts w:hint="default" w:ascii="Times New Roman" w:hAnsi="Times New Roman" w:eastAsia="宋体" w:cs="Times New Roman"/>
                      <w:b/>
                      <w:bCs/>
                      <w:color w:val="000000" w:themeColor="text1"/>
                      <w:kern w:val="0"/>
                      <w:sz w:val="21"/>
                      <w:szCs w:val="21"/>
                      <w:u w:val="single"/>
                      <w14:textFill>
                        <w14:solidFill>
                          <w14:schemeClr w14:val="tx1"/>
                        </w14:solidFill>
                      </w14:textFill>
                    </w:rPr>
                    <w:t>危险</w:t>
                  </w:r>
                </w:p>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u w:val="single"/>
                      <w14:textFill>
                        <w14:solidFill>
                          <w14:schemeClr w14:val="tx1"/>
                        </w14:solidFill>
                      </w14:textFill>
                    </w:rPr>
                  </w:pPr>
                  <w:r>
                    <w:rPr>
                      <w:rFonts w:hint="default" w:ascii="Times New Roman" w:hAnsi="Times New Roman" w:eastAsia="宋体" w:cs="Times New Roman"/>
                      <w:b/>
                      <w:bCs/>
                      <w:color w:val="000000" w:themeColor="text1"/>
                      <w:kern w:val="0"/>
                      <w:sz w:val="21"/>
                      <w:szCs w:val="21"/>
                      <w:u w:val="single"/>
                      <w14:textFill>
                        <w14:solidFill>
                          <w14:schemeClr w14:val="tx1"/>
                        </w14:solidFill>
                      </w14:textFill>
                    </w:rPr>
                    <w:t>特性</w:t>
                  </w:r>
                </w:p>
              </w:tc>
              <w:tc>
                <w:tcPr>
                  <w:tcW w:w="562"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u w:val="single"/>
                      <w14:textFill>
                        <w14:solidFill>
                          <w14:schemeClr w14:val="tx1"/>
                        </w14:solidFill>
                      </w14:textFill>
                    </w:rPr>
                  </w:pPr>
                  <w:r>
                    <w:rPr>
                      <w:rFonts w:hint="default" w:ascii="Times New Roman" w:hAnsi="Times New Roman" w:eastAsia="宋体" w:cs="Times New Roman"/>
                      <w:b/>
                      <w:bCs/>
                      <w:color w:val="000000" w:themeColor="text1"/>
                      <w:kern w:val="0"/>
                      <w:sz w:val="21"/>
                      <w:szCs w:val="21"/>
                      <w:u w:val="single"/>
                      <w14:textFill>
                        <w14:solidFill>
                          <w14:schemeClr w14:val="tx1"/>
                        </w14:solidFill>
                      </w14:textFill>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57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废铅酸蓄电池</w:t>
                  </w:r>
                </w:p>
              </w:tc>
              <w:tc>
                <w:tcPr>
                  <w:tcW w:w="587"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HW</w:t>
                  </w: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31</w:t>
                  </w:r>
                </w:p>
              </w:tc>
              <w:tc>
                <w:tcPr>
                  <w:tcW w:w="737"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pacing w:val="-6"/>
                      <w:kern w:val="0"/>
                      <w:sz w:val="21"/>
                      <w:szCs w:val="21"/>
                      <w:u w:val="single"/>
                      <w14:textFill>
                        <w14:solidFill>
                          <w14:schemeClr w14:val="tx1"/>
                        </w14:solidFill>
                      </w14:textFill>
                    </w:rPr>
                  </w:pPr>
                  <w:r>
                    <w:rPr>
                      <w:rFonts w:hint="default" w:ascii="Times New Roman" w:hAnsi="Times New Roman" w:eastAsia="宋体" w:cs="Times New Roman"/>
                      <w:color w:val="000000" w:themeColor="text1"/>
                      <w:spacing w:val="-6"/>
                      <w:kern w:val="0"/>
                      <w:sz w:val="21"/>
                      <w:szCs w:val="21"/>
                      <w:u w:val="single"/>
                      <w14:textFill>
                        <w14:solidFill>
                          <w14:schemeClr w14:val="tx1"/>
                        </w14:solidFill>
                      </w14:textFill>
                    </w:rPr>
                    <w:t>900-052-31</w:t>
                  </w:r>
                </w:p>
              </w:tc>
              <w:tc>
                <w:tcPr>
                  <w:tcW w:w="607"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t>2.08</w:t>
                  </w:r>
                  <w:r>
                    <w:rPr>
                      <w:rFonts w:hint="eastAsia" w:ascii="Times New Roman" w:hAnsi="Times New Roman" w:eastAsia="宋体" w:cs="Times New Roman"/>
                      <w:color w:val="000000" w:themeColor="text1"/>
                      <w:kern w:val="0"/>
                      <w:sz w:val="21"/>
                      <w:szCs w:val="21"/>
                      <w:u w:val="single"/>
                      <w:lang w:val="en-US" w:eastAsia="zh-CN"/>
                      <w14:textFill>
                        <w14:solidFill>
                          <w14:schemeClr w14:val="tx1"/>
                        </w14:solidFill>
                      </w14:textFill>
                    </w:rPr>
                    <w:t>t</w:t>
                  </w:r>
                </w:p>
              </w:tc>
              <w:tc>
                <w:tcPr>
                  <w:tcW w:w="294"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u w:val="single"/>
                      <w14:textFill>
                        <w14:solidFill>
                          <w14:schemeClr w14:val="tx1"/>
                        </w14:solidFill>
                      </w14:textFill>
                    </w:rPr>
                    <w:t>固态</w:t>
                  </w:r>
                </w:p>
              </w:tc>
              <w:tc>
                <w:tcPr>
                  <w:tcW w:w="720"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主要为饱和的环烷烃与链烷烃混合物</w:t>
                  </w:r>
                </w:p>
              </w:tc>
              <w:tc>
                <w:tcPr>
                  <w:tcW w:w="43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single"/>
                      <w:lang w:val="en-US" w:eastAsia="zh-CN"/>
                      <w14:textFill>
                        <w14:solidFill>
                          <w14:schemeClr w14:val="tx1"/>
                        </w14:solidFill>
                      </w14:textFill>
                    </w:rPr>
                    <w:t>8-10年</w:t>
                  </w:r>
                </w:p>
              </w:tc>
              <w:tc>
                <w:tcPr>
                  <w:tcW w:w="482"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T/In</w:t>
                  </w:r>
                </w:p>
              </w:tc>
              <w:tc>
                <w:tcPr>
                  <w:tcW w:w="562" w:type="pct"/>
                  <w:vMerge w:val="restar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u w:val="single"/>
                      <w14:textFill>
                        <w14:solidFill>
                          <w14:schemeClr w14:val="tx1"/>
                        </w14:solidFill>
                      </w14:textFill>
                    </w:rPr>
                    <w:t>交由有资质危废单位处理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57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u w:val="single"/>
                      <w14:textFill>
                        <w14:solidFill>
                          <w14:schemeClr w14:val="tx1"/>
                        </w14:solidFill>
                      </w14:textFill>
                    </w:rPr>
                    <w:t>废变压器油</w:t>
                  </w:r>
                </w:p>
              </w:tc>
              <w:tc>
                <w:tcPr>
                  <w:tcW w:w="587"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HW08</w:t>
                  </w:r>
                </w:p>
              </w:tc>
              <w:tc>
                <w:tcPr>
                  <w:tcW w:w="737"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pacing w:val="-6"/>
                      <w:kern w:val="0"/>
                      <w:sz w:val="21"/>
                      <w:szCs w:val="21"/>
                      <w:u w:val="single"/>
                      <w14:textFill>
                        <w14:solidFill>
                          <w14:schemeClr w14:val="tx1"/>
                        </w14:solidFill>
                      </w14:textFill>
                    </w:rPr>
                  </w:pPr>
                  <w:r>
                    <w:rPr>
                      <w:rFonts w:hint="default" w:ascii="Times New Roman" w:hAnsi="Times New Roman" w:eastAsia="宋体" w:cs="Times New Roman"/>
                      <w:color w:val="000000" w:themeColor="text1"/>
                      <w:spacing w:val="-6"/>
                      <w:sz w:val="21"/>
                      <w:szCs w:val="21"/>
                      <w:u w:val="single"/>
                      <w14:textFill>
                        <w14:solidFill>
                          <w14:schemeClr w14:val="tx1"/>
                        </w14:solidFill>
                      </w14:textFill>
                    </w:rPr>
                    <w:t>900-220-08</w:t>
                  </w:r>
                </w:p>
              </w:tc>
              <w:tc>
                <w:tcPr>
                  <w:tcW w:w="607"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single"/>
                      <w:lang w:val="en-US" w:eastAsia="zh-CN"/>
                      <w14:textFill>
                        <w14:solidFill>
                          <w14:schemeClr w14:val="tx1"/>
                        </w14:solidFill>
                      </w14:textFill>
                    </w:rPr>
                    <w:t>最大排油量40t</w:t>
                  </w:r>
                </w:p>
              </w:tc>
              <w:tc>
                <w:tcPr>
                  <w:tcW w:w="294"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u w:val="single"/>
                      <w14:textFill>
                        <w14:solidFill>
                          <w14:schemeClr w14:val="tx1"/>
                        </w14:solidFill>
                      </w14:textFill>
                    </w:rPr>
                    <w:t>液态</w:t>
                  </w:r>
                </w:p>
              </w:tc>
              <w:tc>
                <w:tcPr>
                  <w:tcW w:w="720"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14:textFill>
                        <w14:solidFill>
                          <w14:schemeClr w14:val="tx1"/>
                        </w14:solidFill>
                      </w14:textFill>
                    </w:rPr>
                  </w:pPr>
                </w:p>
              </w:tc>
              <w:tc>
                <w:tcPr>
                  <w:tcW w:w="43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u w:val="single"/>
                      <w:lang w:eastAsia="zh-CN"/>
                      <w14:textFill>
                        <w14:solidFill>
                          <w14:schemeClr w14:val="tx1"/>
                        </w14:solidFill>
                      </w14:textFill>
                    </w:rPr>
                  </w:pPr>
                  <w:r>
                    <w:rPr>
                      <w:rFonts w:hint="eastAsia" w:cs="Times New Roman"/>
                      <w:color w:val="000000" w:themeColor="text1"/>
                      <w:kern w:val="0"/>
                      <w:sz w:val="21"/>
                      <w:szCs w:val="21"/>
                      <w:u w:val="single"/>
                      <w:lang w:eastAsia="zh-CN"/>
                      <w14:textFill>
                        <w14:solidFill>
                          <w14:schemeClr w14:val="tx1"/>
                        </w14:solidFill>
                      </w14:textFill>
                    </w:rPr>
                    <w:t>事故时</w:t>
                  </w:r>
                </w:p>
              </w:tc>
              <w:tc>
                <w:tcPr>
                  <w:tcW w:w="482"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T，I</w:t>
                  </w:r>
                </w:p>
              </w:tc>
              <w:tc>
                <w:tcPr>
                  <w:tcW w:w="562"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14:textFill>
                        <w14:solidFill>
                          <w14:schemeClr w14:val="tx1"/>
                        </w14:solidFill>
                      </w14:textFill>
                    </w:rPr>
                  </w:pP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000000" w:themeColor="text1"/>
                <w:sz w:val="24"/>
                <w:szCs w:val="24"/>
                <w:highlight w:val="none"/>
                <w:u w:val="single"/>
                <w14:textFill>
                  <w14:solidFill>
                    <w14:schemeClr w14:val="tx1"/>
                  </w14:solidFill>
                </w14:textFill>
              </w:rPr>
            </w:pP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w:t>
            </w:r>
            <w:r>
              <w:rPr>
                <w:rFonts w:hint="eastAsia" w:cs="Times New Roman"/>
                <w:b w:val="0"/>
                <w:bCs/>
                <w:color w:val="000000" w:themeColor="text1"/>
                <w:sz w:val="24"/>
                <w:szCs w:val="24"/>
                <w:u w:val="singl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u w:val="single"/>
                <w14:textFill>
                  <w14:solidFill>
                    <w14:schemeClr w14:val="tx1"/>
                  </w14:solidFill>
                </w14:textFill>
              </w:rPr>
              <w:t>固体废物管理要求</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highlight w:val="none"/>
                <w:u w:val="single"/>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14:textFill>
                  <w14:solidFill>
                    <w14:schemeClr w14:val="tx1"/>
                  </w14:solidFill>
                </w14:textFill>
              </w:rPr>
              <w:t>1）</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生活垃圾集中收集于垃圾桶内，定期清运至周边村庄，依托当地生活垃圾收集处理设施处理。</w:t>
            </w:r>
          </w:p>
          <w:p>
            <w:pPr>
              <w:pStyle w:val="6"/>
              <w:keepNext w:val="0"/>
              <w:keepLines w:val="0"/>
              <w:suppressLineNumbers w:val="0"/>
              <w:spacing w:before="0" w:beforeAutospacing="0" w:after="0" w:afterAutospacing="0" w:line="360" w:lineRule="auto"/>
              <w:ind w:left="0" w:leftChars="0" w:right="0" w:firstLine="480" w:firstLineChars="200"/>
              <w:jc w:val="left"/>
              <w:rPr>
                <w:rFonts w:hint="default" w:ascii="Times New Roman" w:hAnsi="Times New Roman" w:eastAsia="宋体" w:cs="Times New Roman"/>
                <w:color w:val="000000" w:themeColor="text1"/>
                <w:sz w:val="24"/>
                <w:szCs w:val="24"/>
                <w:u w:val="single"/>
                <w14:textFill>
                  <w14:solidFill>
                    <w14:schemeClr w14:val="tx1"/>
                  </w14:solidFill>
                </w14:textFill>
              </w:rPr>
            </w:pPr>
            <w:r>
              <w:rPr>
                <w:rFonts w:hint="default" w:ascii="Times New Roman" w:hAnsi="Times New Roman" w:eastAsia="宋体" w:cs="Times New Roman"/>
                <w:color w:val="000000" w:themeColor="text1"/>
                <w:sz w:val="24"/>
                <w:szCs w:val="24"/>
                <w:u w:val="single"/>
                <w14:textFill>
                  <w14:solidFill>
                    <w14:schemeClr w14:val="tx1"/>
                  </w14:solidFill>
                </w14:textFill>
              </w:rPr>
              <w:t>2）</w:t>
            </w:r>
            <w:r>
              <w:rPr>
                <w:rFonts w:hint="default" w:ascii="Times New Roman" w:hAnsi="Times New Roman" w:cs="Times New Roman"/>
                <w:color w:val="000000" w:themeColor="text1"/>
                <w:sz w:val="24"/>
                <w:szCs w:val="24"/>
                <w:u w:val="single"/>
                <w:lang w:eastAsia="zh-CN"/>
                <w14:textFill>
                  <w14:solidFill>
                    <w14:schemeClr w14:val="tx1"/>
                  </w14:solidFill>
                </w14:textFill>
              </w:rPr>
              <w:t>一般工业固废暂存场所参</w:t>
            </w:r>
            <w:r>
              <w:rPr>
                <w:rFonts w:hint="default" w:ascii="Times New Roman" w:hAnsi="Times New Roman" w:eastAsia="宋体" w:cs="Times New Roman"/>
                <w:color w:val="000000" w:themeColor="text1"/>
                <w:sz w:val="24"/>
                <w:szCs w:val="24"/>
                <w:u w:val="single"/>
                <w14:textFill>
                  <w14:solidFill>
                    <w14:schemeClr w14:val="tx1"/>
                  </w14:solidFill>
                </w14:textFill>
              </w:rPr>
              <w:t>照《一般工业固体废物贮存和填埋污染控制标准》（GB18599-2020）要求进行设计、施工，做到防渗漏、防雨淋、防散失处理，避免对环境造成二次污染。一般工业废固体物定点收集后</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交给专业回收公司处理</w:t>
            </w:r>
            <w:r>
              <w:rPr>
                <w:rFonts w:hint="default" w:ascii="Times New Roman" w:hAnsi="Times New Roman" w:cs="Times New Roman"/>
                <w:color w:val="000000" w:themeColor="text1"/>
                <w:sz w:val="24"/>
                <w:szCs w:val="24"/>
                <w:u w:val="single"/>
                <w:lang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u w:val="single"/>
                <w14:textFill>
                  <w14:solidFill>
                    <w14:schemeClr w14:val="tx1"/>
                  </w14:solidFill>
                </w14:textFill>
              </w:rPr>
            </w:pPr>
            <w:r>
              <w:rPr>
                <w:rFonts w:hint="default" w:ascii="Times New Roman" w:hAnsi="Times New Roman" w:eastAsia="宋体" w:cs="Times New Roman"/>
                <w:color w:val="000000" w:themeColor="text1"/>
                <w:sz w:val="24"/>
                <w:szCs w:val="24"/>
                <w:u w:val="single"/>
                <w14:textFill>
                  <w14:solidFill>
                    <w14:schemeClr w14:val="tx1"/>
                  </w14:solidFill>
                </w14:textFill>
              </w:rPr>
              <w:t>3）</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项目</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在升压站内</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设</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1间30m</w:t>
            </w:r>
            <w:r>
              <w:rPr>
                <w:rFonts w:hint="default" w:ascii="Times New Roman" w:hAnsi="Times New Roman" w:cs="Times New Roman"/>
                <w:color w:val="000000" w:themeColor="text1"/>
                <w:sz w:val="24"/>
                <w:szCs w:val="24"/>
                <w:u w:val="singl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的</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危废暂存间，</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危废暂存间应</w:t>
            </w:r>
            <w:r>
              <w:rPr>
                <w:rFonts w:hint="default" w:ascii="Times New Roman" w:hAnsi="Times New Roman" w:eastAsia="宋体" w:cs="Times New Roman"/>
                <w:color w:val="000000" w:themeColor="text1"/>
                <w:sz w:val="24"/>
                <w:szCs w:val="24"/>
                <w:u w:val="single"/>
                <w14:textFill>
                  <w14:solidFill>
                    <w14:schemeClr w14:val="tx1"/>
                  </w14:solidFill>
                </w14:textFill>
              </w:rPr>
              <w:t>符合《危险废物贮存污染控制标准》（GB18597-</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2023</w:t>
            </w:r>
            <w:r>
              <w:rPr>
                <w:rFonts w:hint="default" w:ascii="Times New Roman" w:hAnsi="Times New Roman" w:eastAsia="宋体" w:cs="Times New Roman"/>
                <w:color w:val="000000" w:themeColor="text1"/>
                <w:sz w:val="24"/>
                <w:szCs w:val="24"/>
                <w:u w:val="single"/>
                <w14:textFill>
                  <w14:solidFill>
                    <w14:schemeClr w14:val="tx1"/>
                  </w14:solidFill>
                </w14:textFill>
              </w:rPr>
              <w:t>）</w:t>
            </w:r>
            <w:r>
              <w:rPr>
                <w:rFonts w:hint="default" w:ascii="Times New Roman" w:hAnsi="Times New Roman" w:cs="Times New Roman"/>
                <w:color w:val="000000" w:themeColor="text1"/>
                <w:sz w:val="24"/>
                <w:szCs w:val="24"/>
                <w:u w:val="single"/>
                <w:lang w:eastAsia="zh-CN"/>
                <w14:textFill>
                  <w14:solidFill>
                    <w14:schemeClr w14:val="tx1"/>
                  </w14:solidFill>
                </w14:textFill>
              </w:rPr>
              <w:t>的</w:t>
            </w:r>
            <w:r>
              <w:rPr>
                <w:rFonts w:hint="default" w:ascii="Times New Roman" w:hAnsi="Times New Roman" w:eastAsia="宋体" w:cs="Times New Roman"/>
                <w:color w:val="000000" w:themeColor="text1"/>
                <w:sz w:val="24"/>
                <w:szCs w:val="24"/>
                <w:u w:val="single"/>
                <w14:textFill>
                  <w14:solidFill>
                    <w14:schemeClr w14:val="tx1"/>
                  </w14:solidFill>
                </w14:textFill>
              </w:rPr>
              <w:t>要求，且在暂存场所上空设有防雨淋设施，地面采取防渗措施，危险废物收集后临时贮存于废物储罐内；根据生产需要合理设置贮存量，尽量减少厂区内的物料贮存量；严禁将危险废物混入生活垃圾；堆放危险废物的地方要有明显的标志，堆放点要防雨、防渗、防漏，按要求进行包装贮存。</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、电磁环境影响分析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根据电磁环境影响专项评价中类比预测结果，项目运营期升压站站界工频电场强度、工频磁感应强度均满足《电磁环境控制限值》（GB 8702-2014）表1中公众曝露控制限值的要求，即工频电场强度≤4000V/m、工频磁感应强度≤100μT。本项目对周围电磁环境影响较小。</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环境风险分析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u w:val="single"/>
                <w:lang w:val="en-US" w:eastAsia="zh-CN"/>
                <w14:textFill>
                  <w14:solidFill>
                    <w14:schemeClr w14:val="tx1"/>
                  </w14:solidFill>
                </w14:textFill>
              </w:rPr>
              <w:t>本项目环境风险主要为油品等可燃物（或易燃物）引起的火灾，升压站变压器发生故障时变压器油泄漏。为防止环境风险事故的发生，提出以下风险防范措施。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kern w:val="2"/>
                <w:sz w:val="24"/>
                <w:szCs w:val="24"/>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u w:val="single"/>
                <w:lang w:val="en-US" w:eastAsia="zh-CN" w:bidi="ar-SA"/>
                <w14:textFill>
                  <w14:solidFill>
                    <w14:schemeClr w14:val="tx1"/>
                  </w14:solidFill>
                </w14:textFill>
              </w:rPr>
              <w:t>（1）火灾风险防范措施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u w:val="single"/>
                <w14:textFill>
                  <w14:solidFill>
                    <w14:schemeClr w14:val="tx1"/>
                  </w14:solidFill>
                </w14:textFill>
              </w:rPr>
            </w:pPr>
            <w:r>
              <w:rPr>
                <w:rFonts w:hint="default" w:ascii="Times New Roman" w:hAnsi="Times New Roman" w:eastAsia="宋体" w:cs="Times New Roman"/>
                <w:color w:val="000000" w:themeColor="text1"/>
                <w:sz w:val="24"/>
                <w:szCs w:val="24"/>
                <w:u w:val="single"/>
                <w14:textFill>
                  <w14:solidFill>
                    <w14:schemeClr w14:val="tx1"/>
                  </w14:solidFill>
                </w14:textFill>
              </w:rPr>
              <w:t>①选用合格的电气设备、严格按操作规定进行操作、高电压处设置警示牌或围栏、配置灭火器等措施。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u w:val="single"/>
                <w14:textFill>
                  <w14:solidFill>
                    <w14:schemeClr w14:val="tx1"/>
                  </w14:solidFill>
                </w14:textFill>
              </w:rPr>
            </w:pPr>
            <w:r>
              <w:rPr>
                <w:rFonts w:hint="default" w:ascii="Times New Roman" w:hAnsi="Times New Roman" w:eastAsia="宋体" w:cs="Times New Roman"/>
                <w:color w:val="000000" w:themeColor="text1"/>
                <w:sz w:val="24"/>
                <w:szCs w:val="24"/>
                <w:u w:val="single"/>
                <w14:textFill>
                  <w14:solidFill>
                    <w14:schemeClr w14:val="tx1"/>
                  </w14:solidFill>
                </w14:textFill>
              </w:rPr>
              <w:t>②定期对员工进行技术及安全、环保知识培训，严格要求各岗位员工按章操作，严禁违章操作，提高员工安全、环保意识。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kern w:val="2"/>
                <w:sz w:val="24"/>
                <w:szCs w:val="24"/>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u w:val="single"/>
                <w:lang w:val="en-US" w:eastAsia="zh-CN" w:bidi="ar-SA"/>
                <w14:textFill>
                  <w14:solidFill>
                    <w14:schemeClr w14:val="tx1"/>
                  </w14:solidFill>
                </w14:textFill>
              </w:rPr>
              <w:t>③加强对各种仪器设备的管理并定期检修，加强对油类物质的使用管理及监控，及时发现和消除火灾隐患。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kern w:val="2"/>
                <w:sz w:val="24"/>
                <w:szCs w:val="24"/>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u w:val="single"/>
                <w:lang w:val="en-US" w:eastAsia="zh-CN" w:bidi="ar-SA"/>
                <w14:textFill>
                  <w14:solidFill>
                    <w14:schemeClr w14:val="tx1"/>
                  </w14:solidFill>
                </w14:textFill>
              </w:rPr>
              <w:t>（2）升压站事故油泄漏风险防范措施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pacing w:val="-2"/>
                <w:kern w:val="2"/>
                <w:sz w:val="24"/>
                <w:szCs w:val="24"/>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u w:val="single"/>
                <w14:textFill>
                  <w14:solidFill>
                    <w14:schemeClr w14:val="tx1"/>
                  </w14:solidFill>
                </w14:textFill>
              </w:rPr>
              <w:t>为防止事故、检修时造成废油污染，</w:t>
            </w:r>
            <w:r>
              <w:rPr>
                <w:rFonts w:hint="default" w:ascii="Times New Roman" w:hAnsi="Times New Roman" w:cs="Times New Roman"/>
                <w:color w:val="000000" w:themeColor="text1"/>
                <w:sz w:val="24"/>
                <w:szCs w:val="24"/>
                <w:u w:val="single"/>
                <w:lang w:eastAsia="zh-CN"/>
                <w14:textFill>
                  <w14:solidFill>
                    <w14:schemeClr w14:val="tx1"/>
                  </w14:solidFill>
                </w14:textFill>
              </w:rPr>
              <w:t>升压站</w:t>
            </w:r>
            <w:r>
              <w:rPr>
                <w:rFonts w:hint="default" w:ascii="Times New Roman" w:hAnsi="Times New Roman" w:eastAsia="宋体" w:cs="Times New Roman"/>
                <w:color w:val="000000" w:themeColor="text1"/>
                <w:sz w:val="24"/>
                <w:szCs w:val="24"/>
                <w:u w:val="single"/>
                <w14:textFill>
                  <w14:solidFill>
                    <w14:schemeClr w14:val="tx1"/>
                  </w14:solidFill>
                </w14:textFill>
              </w:rPr>
              <w:t>设置变压器油排蓄系统，变压器基座四周设有事故油坑，事故油坑通过底部的事故排油管道与具有油水分离功能的总事故油池相连，事故油池为虹吸式油池，采用钢筋砼结构防渗处理并防止雨水进入，油池内预存定量水并定期检查水位，在发生事故时，泄露的变压器油将通过排油管道排入事故油池，经静置分离，油浮于上部，水沉于底部，在油压作用下，排水管将底部的部分水排出池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96" w:firstLineChars="200"/>
              <w:jc w:val="both"/>
              <w:textAlignment w:val="auto"/>
              <w:rPr>
                <w:rFonts w:hint="default" w:ascii="Times New Roman" w:hAnsi="Times New Roman" w:eastAsia="宋体" w:cs="Times New Roman"/>
                <w:color w:val="000000" w:themeColor="text1"/>
                <w:spacing w:val="-2"/>
                <w:kern w:val="2"/>
                <w:sz w:val="24"/>
                <w:szCs w:val="24"/>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
                <w:sz w:val="24"/>
                <w:szCs w:val="24"/>
                <w:u w:val="single"/>
                <w:lang w:val="en-US" w:eastAsia="zh-CN" w:bidi="ar-SA"/>
                <w14:textFill>
                  <w14:solidFill>
                    <w14:schemeClr w14:val="tx1"/>
                  </w14:solidFill>
                </w14:textFill>
              </w:rPr>
              <w:t>事故情况下进入事故油池的变压器油及事故油池内的含油废水则交由有危废</w:t>
            </w:r>
            <w:r>
              <w:rPr>
                <w:rFonts w:hint="default" w:ascii="Times New Roman" w:hAnsi="Times New Roman" w:eastAsia="宋体" w:cs="Times New Roman"/>
                <w:color w:val="000000" w:themeColor="text1"/>
                <w:spacing w:val="-2"/>
                <w:kern w:val="2"/>
                <w:sz w:val="24"/>
                <w:szCs w:val="24"/>
                <w:u w:val="single"/>
                <w:lang w:val="en-US" w:eastAsia="zh-CN" w:bidi="ar-SA"/>
                <w14:textFill>
                  <w14:solidFill>
                    <w14:schemeClr w14:val="tx1"/>
                  </w14:solidFill>
                </w14:textFill>
              </w:rPr>
              <w:t>处理资质的单位进行处置，不得随意外排。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2" w:firstLineChars="200"/>
              <w:jc w:val="both"/>
              <w:textAlignment w:val="auto"/>
              <w:rPr>
                <w:rFonts w:hint="default" w:ascii="Times New Roman" w:hAnsi="Times New Roman" w:eastAsia="宋体" w:cs="Times New Roman"/>
                <w:color w:val="000000" w:themeColor="text1"/>
                <w:spacing w:val="-2"/>
                <w:kern w:val="2"/>
                <w:sz w:val="24"/>
                <w:szCs w:val="24"/>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4"/>
                <w:szCs w:val="24"/>
                <w:u w:val="single"/>
                <w:lang w:val="en-US" w:eastAsia="zh-CN" w:bidi="ar-SA"/>
                <w14:textFill>
                  <w14:solidFill>
                    <w14:schemeClr w14:val="tx1"/>
                  </w14:solidFill>
                </w14:textFill>
              </w:rPr>
              <w:t>本项目升压站主变下拟建事故油池，项目设一台150MVA主变，</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主变压器内变压油储量约40t，变压油密度为895kg/m</w:t>
            </w:r>
            <w:r>
              <w:rPr>
                <w:rFonts w:hint="default" w:ascii="Times New Roman" w:hAnsi="Times New Roman" w:eastAsia="宋体" w:cs="Times New Roman"/>
                <w:b w:val="0"/>
                <w:bCs/>
                <w:color w:val="000000" w:themeColor="text1"/>
                <w:sz w:val="24"/>
                <w:szCs w:val="24"/>
                <w:u w:val="singl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，则主变变压油储量约为44.69m</w:t>
            </w:r>
            <w:r>
              <w:rPr>
                <w:rFonts w:hint="default" w:ascii="Times New Roman" w:hAnsi="Times New Roman" w:eastAsia="宋体" w:cs="Times New Roman"/>
                <w:b w:val="0"/>
                <w:bCs/>
                <w:color w:val="000000" w:themeColor="text1"/>
                <w:sz w:val="24"/>
                <w:szCs w:val="24"/>
                <w:u w:val="singl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w:t>
            </w:r>
            <w:r>
              <w:rPr>
                <w:rFonts w:hint="default" w:ascii="Times New Roman" w:hAnsi="Times New Roman" w:eastAsia="宋体" w:cs="Times New Roman"/>
                <w:color w:val="000000" w:themeColor="text1"/>
                <w:spacing w:val="-2"/>
                <w:kern w:val="2"/>
                <w:sz w:val="24"/>
                <w:szCs w:val="24"/>
                <w:u w:val="single"/>
                <w:lang w:val="en-US" w:eastAsia="zh-CN" w:bidi="ar-SA"/>
                <w14:textFill>
                  <w14:solidFill>
                    <w14:schemeClr w14:val="tx1"/>
                  </w14:solidFill>
                </w14:textFill>
              </w:rPr>
              <w:t>根据《火力发电厂与变电站设计防火规范》（GB50229-2019）中“总事故贮油池的容量应按其接入的油量最大的一台设备确定”规定，本项目主变事故油池容积要求不小于50m</w:t>
            </w:r>
            <w:r>
              <w:rPr>
                <w:rFonts w:hint="default" w:ascii="Times New Roman" w:hAnsi="Times New Roman" w:eastAsia="宋体" w:cs="Times New Roman"/>
                <w:color w:val="000000" w:themeColor="text1"/>
                <w:spacing w:val="-2"/>
                <w:kern w:val="2"/>
                <w:sz w:val="24"/>
                <w:szCs w:val="24"/>
                <w:u w:val="singl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2"/>
                <w:kern w:val="2"/>
                <w:sz w:val="24"/>
                <w:szCs w:val="24"/>
                <w:u w:val="single"/>
                <w:lang w:val="en-US" w:eastAsia="zh-CN" w:bidi="ar-SA"/>
                <w14:textFill>
                  <w14:solidFill>
                    <w14:schemeClr w14:val="tx1"/>
                  </w14:solidFill>
                </w14:textFill>
              </w:rPr>
              <w:t>，事故池容积满足变压器油100%泄漏收集要求。</w:t>
            </w:r>
            <w:r>
              <w:rPr>
                <w:rFonts w:hint="default" w:ascii="Times New Roman" w:hAnsi="Times New Roman" w:eastAsia="宋体" w:cs="Times New Roman"/>
                <w:color w:val="000000" w:themeColor="text1"/>
                <w:sz w:val="24"/>
                <w:szCs w:val="24"/>
                <w:u w:val="single"/>
                <w14:textFill>
                  <w14:solidFill>
                    <w14:schemeClr w14:val="tx1"/>
                  </w14:solidFill>
                </w14:textFill>
              </w:rPr>
              <w:t>事故油池池底及四周池壁设置防渗措施，</w:t>
            </w:r>
            <w:r>
              <w:rPr>
                <w:rFonts w:hint="default" w:ascii="Times New Roman" w:hAnsi="Times New Roman" w:eastAsia="宋体" w:cs="Times New Roman"/>
                <w:color w:val="000000" w:themeColor="text1"/>
                <w:kern w:val="0"/>
                <w:sz w:val="24"/>
                <w:u w:val="single"/>
                <w:lang w:bidi="ar"/>
                <w14:textFill>
                  <w14:solidFill>
                    <w14:schemeClr w14:val="tx1"/>
                  </w14:solidFill>
                </w14:textFill>
              </w:rPr>
              <w:t>防渗层为至少 1 m 厚黏土层（渗透系数不大于 10</w:t>
            </w:r>
            <w:r>
              <w:rPr>
                <w:rFonts w:hint="default" w:ascii="Times New Roman" w:hAnsi="Times New Roman" w:eastAsia="宋体" w:cs="Times New Roman"/>
                <w:color w:val="000000" w:themeColor="text1"/>
                <w:kern w:val="0"/>
                <w:sz w:val="24"/>
                <w:u w:val="single"/>
                <w:vertAlign w:val="superscript"/>
                <w:lang w:bidi="ar"/>
                <w14:textFill>
                  <w14:solidFill>
                    <w14:schemeClr w14:val="tx1"/>
                  </w14:solidFill>
                </w14:textFill>
              </w:rPr>
              <w:t>-7</w:t>
            </w:r>
            <w:r>
              <w:rPr>
                <w:rFonts w:hint="default" w:ascii="Times New Roman" w:hAnsi="Times New Roman" w:eastAsia="宋体" w:cs="Times New Roman"/>
                <w:color w:val="000000" w:themeColor="text1"/>
                <w:kern w:val="0"/>
                <w:sz w:val="24"/>
                <w:u w:val="single"/>
                <w:lang w:bidi="ar"/>
                <w14:textFill>
                  <w14:solidFill>
                    <w14:schemeClr w14:val="tx1"/>
                  </w14:solidFill>
                </w14:textFill>
              </w:rPr>
              <w:t xml:space="preserve"> cm/s），或至少2 mm 厚高密度聚乙烯膜等人工防渗材料（渗透系数不大于 10</w:t>
            </w:r>
            <w:r>
              <w:rPr>
                <w:rFonts w:hint="default" w:ascii="Times New Roman" w:hAnsi="Times New Roman" w:eastAsia="宋体" w:cs="Times New Roman"/>
                <w:color w:val="000000" w:themeColor="text1"/>
                <w:kern w:val="0"/>
                <w:sz w:val="24"/>
                <w:u w:val="single"/>
                <w:vertAlign w:val="superscript"/>
                <w:lang w:bidi="ar"/>
                <w14:textFill>
                  <w14:solidFill>
                    <w14:schemeClr w14:val="tx1"/>
                  </w14:solidFill>
                </w14:textFill>
              </w:rPr>
              <w:t>-10</w:t>
            </w:r>
            <w:r>
              <w:rPr>
                <w:rFonts w:hint="default" w:ascii="Times New Roman" w:hAnsi="Times New Roman" w:eastAsia="宋体" w:cs="Times New Roman"/>
                <w:color w:val="000000" w:themeColor="text1"/>
                <w:kern w:val="0"/>
                <w:sz w:val="24"/>
                <w:u w:val="single"/>
                <w:lang w:bidi="ar"/>
                <w14:textFill>
                  <w14:solidFill>
                    <w14:schemeClr w14:val="tx1"/>
                  </w14:solidFill>
                </w14:textFill>
              </w:rPr>
              <w:t xml:space="preserve"> cm/s），或其他防渗性能等效的材料。</w:t>
            </w:r>
            <w:r>
              <w:rPr>
                <w:rFonts w:hint="default" w:ascii="Times New Roman" w:hAnsi="Times New Roman" w:eastAsia="宋体" w:cs="Times New Roman"/>
                <w:color w:val="000000" w:themeColor="text1"/>
                <w:sz w:val="24"/>
                <w:szCs w:val="24"/>
                <w:u w:val="single"/>
                <w14:textFill>
                  <w14:solidFill>
                    <w14:schemeClr w14:val="tx1"/>
                  </w14:solidFill>
                </w14:textFill>
              </w:rPr>
              <w:t>事故油池严格执行《危险废物贮存污染控制标准》（GB 18597-20</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u w:val="single"/>
                <w14:textFill>
                  <w14:solidFill>
                    <w14:schemeClr w14:val="tx1"/>
                  </w14:solidFill>
                </w14:textFill>
              </w:rPr>
              <w:t>）的要求。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u w:val="single"/>
                <w:lang w:eastAsia="zh-CN"/>
                <w14:textFill>
                  <w14:solidFill>
                    <w14:schemeClr w14:val="tx1"/>
                  </w14:solidFill>
                </w14:textFill>
              </w:rPr>
            </w:pPr>
            <w:r>
              <w:rPr>
                <w:rFonts w:hint="default" w:ascii="Times New Roman" w:hAnsi="Times New Roman" w:eastAsia="宋体" w:cs="Times New Roman"/>
                <w:color w:val="000000" w:themeColor="text1"/>
                <w:sz w:val="24"/>
                <w:u w:val="single"/>
                <w14:textFill>
                  <w14:solidFill>
                    <w14:schemeClr w14:val="tx1"/>
                  </w14:solidFill>
                </w14:textFill>
              </w:rPr>
              <w:t>事故油池不与雨水系统相通，</w:t>
            </w:r>
            <w:r>
              <w:rPr>
                <w:rFonts w:hint="default" w:ascii="Times New Roman" w:hAnsi="Times New Roman" w:eastAsia="宋体" w:cs="Times New Roman"/>
                <w:color w:val="000000" w:themeColor="text1"/>
                <w:sz w:val="24"/>
                <w:u w:val="single"/>
                <w:lang w:eastAsia="zh-CN"/>
                <w14:textFill>
                  <w14:solidFill>
                    <w14:schemeClr w14:val="tx1"/>
                  </w14:solidFill>
                </w14:textFill>
              </w:rPr>
              <w:t>发生变压器油泄漏时，油品进入事故油池收集，不会进入外环境，</w:t>
            </w:r>
            <w:r>
              <w:rPr>
                <w:rFonts w:hint="default" w:ascii="Times New Roman" w:hAnsi="Times New Roman" w:eastAsia="宋体" w:cs="Times New Roman"/>
                <w:color w:val="000000" w:themeColor="text1"/>
                <w:sz w:val="24"/>
                <w:u w:val="single"/>
                <w14:textFill>
                  <w14:solidFill>
                    <w14:schemeClr w14:val="tx1"/>
                  </w14:solidFill>
                </w14:textFill>
              </w:rPr>
              <w:t>不会对周边地表水环境产生的不良影响</w:t>
            </w:r>
            <w:r>
              <w:rPr>
                <w:rFonts w:hint="default" w:ascii="Times New Roman" w:hAnsi="Times New Roman" w:eastAsia="宋体" w:cs="Times New Roman"/>
                <w:color w:val="000000" w:themeColor="text1"/>
                <w:sz w:val="24"/>
                <w:u w:val="single"/>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64" w:firstLineChars="200"/>
              <w:jc w:val="both"/>
              <w:textAlignment w:val="auto"/>
              <w:rPr>
                <w:rFonts w:hint="default" w:ascii="Times New Roman" w:hAnsi="Times New Roman" w:eastAsia="宋体" w:cs="Times New Roman"/>
                <w:color w:val="000000" w:themeColor="text1"/>
                <w:spacing w:val="-4"/>
                <w:kern w:val="2"/>
                <w:sz w:val="24"/>
                <w:szCs w:val="22"/>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
                <w:sz w:val="24"/>
                <w:szCs w:val="22"/>
                <w:u w:val="single"/>
                <w:lang w:val="en-US" w:eastAsia="zh-CN" w:bidi="ar-SA"/>
                <w14:textFill>
                  <w14:solidFill>
                    <w14:schemeClr w14:val="tx1"/>
                  </w14:solidFill>
                </w14:textFill>
              </w:rPr>
              <w:t>升压站内变压器的运行和管理有着严格的规章制度和操作流程，发生事故并失控的概率非常小。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464" w:type="dxa"/>
            <w:noWrap w:val="0"/>
            <w:vAlign w:val="center"/>
          </w:tcPr>
          <w:p>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4"/>
                <w:szCs w:val="24"/>
                <w14:textFill>
                  <w14:solidFill>
                    <w14:schemeClr w14:val="tx1"/>
                  </w14:solidFill>
                </w14:textFill>
              </w:rPr>
            </w:pPr>
            <w:r>
              <w:rPr>
                <w:rFonts w:hint="default" w:ascii="Times New Roman" w:hAnsi="Times New Roman" w:eastAsia="宋体" w:cs="Times New Roman"/>
                <w:bCs/>
                <w:color w:val="000000" w:themeColor="text1"/>
                <w:kern w:val="2"/>
                <w:sz w:val="24"/>
                <w:szCs w:val="24"/>
                <w14:textFill>
                  <w14:solidFill>
                    <w14:schemeClr w14:val="tx1"/>
                  </w14:solidFill>
                </w14:textFill>
              </w:rPr>
              <w:t>选址选线环境合理性分析</w:t>
            </w:r>
          </w:p>
        </w:tc>
        <w:tc>
          <w:tcPr>
            <w:tcW w:w="7978" w:type="dxa"/>
            <w:noWrap w:val="0"/>
            <w:vAlign w:val="center"/>
          </w:tcPr>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bidi="ar"/>
                <w14:textFill>
                  <w14:solidFill>
                    <w14:schemeClr w14:val="tx1"/>
                  </w14:solidFill>
                </w14:textFill>
              </w:rPr>
              <w:t>本项目选址位于</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湖南</w:t>
            </w:r>
            <w:r>
              <w:rPr>
                <w:rFonts w:hint="default" w:ascii="Times New Roman" w:hAnsi="Times New Roman" w:cs="Times New Roman"/>
                <w:color w:val="000000" w:themeColor="text1"/>
                <w:sz w:val="24"/>
                <w:szCs w:val="24"/>
                <w:highlight w:val="none"/>
                <w:u w:val="none"/>
                <w14:textFill>
                  <w14:solidFill>
                    <w14:schemeClr w14:val="tx1"/>
                  </w14:solidFill>
                </w14:textFill>
              </w:rPr>
              <w:t>省</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邵阳</w:t>
            </w:r>
            <w:r>
              <w:rPr>
                <w:rFonts w:hint="default" w:ascii="Times New Roman" w:hAnsi="Times New Roman" w:cs="Times New Roman"/>
                <w:color w:val="000000" w:themeColor="text1"/>
                <w:sz w:val="24"/>
                <w:szCs w:val="24"/>
                <w:highlight w:val="none"/>
                <w:u w:val="none"/>
                <w14:textFill>
                  <w14:solidFill>
                    <w14:schemeClr w14:val="tx1"/>
                  </w14:solidFill>
                </w14:textFill>
              </w:rPr>
              <w:t>市</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邵阳</w:t>
            </w:r>
            <w:r>
              <w:rPr>
                <w:rFonts w:hint="default" w:ascii="Times New Roman" w:hAnsi="Times New Roman" w:cs="Times New Roman"/>
                <w:color w:val="000000" w:themeColor="text1"/>
                <w:sz w:val="24"/>
                <w:szCs w:val="24"/>
                <w:highlight w:val="none"/>
                <w:u w:val="none"/>
                <w14:textFill>
                  <w14:solidFill>
                    <w14:schemeClr w14:val="tx1"/>
                  </w14:solidFill>
                </w14:textFill>
              </w:rPr>
              <w:t>县</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郦家坪镇</w:t>
            </w:r>
            <w:r>
              <w:rPr>
                <w:rFonts w:hint="default" w:ascii="Times New Roman" w:hAnsi="Times New Roman" w:cs="Times New Roman"/>
                <w:color w:val="000000" w:themeColor="text1"/>
                <w:kern w:val="0"/>
                <w:sz w:val="24"/>
                <w:szCs w:val="24"/>
                <w:lang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项目</w:t>
            </w:r>
            <w:r>
              <w:rPr>
                <w:rFonts w:hint="default" w:ascii="Times New Roman" w:hAnsi="Times New Roman" w:eastAsia="宋体" w:cs="Times New Roman"/>
                <w:color w:val="000000" w:themeColor="text1"/>
                <w:kern w:val="0"/>
                <w:sz w:val="24"/>
                <w:szCs w:val="24"/>
                <w:lang w:bidi="ar"/>
                <w14:textFill>
                  <w14:solidFill>
                    <w14:schemeClr w14:val="tx1"/>
                  </w14:solidFill>
                </w14:textFill>
              </w:rPr>
              <w:t>不占用基本农田、生态公益林和水源涵养林，附近无重点保护的动植物及文物古迹，无风景名胜区、自然保护区等，不在生态保护红线范围内。项目周边环境质量较好，项目在采取本报告提出的环保措施后，对周边环境影响较小。因此，项目选址合理。综上所述，本项目选址合理。</w:t>
            </w:r>
          </w:p>
        </w:tc>
      </w:tr>
    </w:tbl>
    <w:p>
      <w:pPr>
        <w:pStyle w:val="19"/>
        <w:jc w:val="center"/>
        <w:rPr>
          <w:rFonts w:hint="default" w:ascii="Times New Roman" w:hAnsi="Times New Roman" w:eastAsia="黑体" w:cs="Times New Roman"/>
          <w:snapToGrid w:val="0"/>
          <w:color w:val="000000" w:themeColor="text1"/>
          <w:sz w:val="36"/>
          <w:szCs w:val="36"/>
          <w14:textFill>
            <w14:solidFill>
              <w14:schemeClr w14:val="tx1"/>
            </w14:solidFill>
          </w14:textFill>
        </w:rPr>
        <w:sectPr>
          <w:pgSz w:w="11906" w:h="16838"/>
          <w:pgMar w:top="1440" w:right="1587" w:bottom="1440" w:left="1587" w:header="851" w:footer="1077" w:gutter="0"/>
          <w:pgNumType w:fmt="decimal"/>
          <w:cols w:space="720" w:num="1"/>
          <w:docGrid w:linePitch="312" w:charSpace="0"/>
        </w:sectPr>
      </w:pP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b/>
          <w:bCs/>
          <w:snapToGrid w:val="0"/>
          <w:color w:val="000000" w:themeColor="text1"/>
          <w:sz w:val="30"/>
          <w:szCs w:val="30"/>
          <w14:textFill>
            <w14:solidFill>
              <w14:schemeClr w14:val="tx1"/>
            </w14:solidFill>
          </w14:textFill>
        </w:rPr>
      </w:pPr>
      <w:bookmarkStart w:id="17" w:name="_Toc18994"/>
      <w:r>
        <w:rPr>
          <w:rFonts w:hint="default" w:ascii="Times New Roman" w:hAnsi="Times New Roman" w:eastAsia="宋体" w:cs="Times New Roman"/>
          <w:b/>
          <w:bCs/>
          <w:snapToGrid w:val="0"/>
          <w:color w:val="000000" w:themeColor="text1"/>
          <w:sz w:val="30"/>
          <w:szCs w:val="30"/>
          <w14:textFill>
            <w14:solidFill>
              <w14:schemeClr w14:val="tx1"/>
            </w14:solidFill>
          </w14:textFill>
        </w:rPr>
        <w:t>五、主要生态环境保护措施</w:t>
      </w:r>
      <w:bookmarkEnd w:id="17"/>
    </w:p>
    <w:tbl>
      <w:tblPr>
        <w:tblStyle w:val="2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81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87" w:hRule="atLeast"/>
          <w:jc w:val="center"/>
        </w:trPr>
        <w:tc>
          <w:tcPr>
            <w:tcW w:w="408"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pacing w:val="10"/>
                <w:sz w:val="24"/>
                <w:szCs w:val="24"/>
                <w14:textFill>
                  <w14:solidFill>
                    <w14:schemeClr w14:val="tx1"/>
                  </w14:solidFill>
                </w14:textFill>
              </w:rPr>
              <w:t>施工期生态环境保护措施</w:t>
            </w:r>
          </w:p>
        </w:tc>
        <w:tc>
          <w:tcPr>
            <w:tcW w:w="4591" w:type="pct"/>
            <w:noWrap w:val="0"/>
            <w:vAlign w:val="top"/>
          </w:tcPr>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val="0"/>
                <w:bCs w:val="0"/>
                <w:color w:val="000000" w:themeColor="text1"/>
                <w:sz w:val="24"/>
                <w:u w:val="singl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本工程施工期土建工程依托于光伏电站土建工程内容，</w:t>
            </w:r>
            <w:r>
              <w:rPr>
                <w:rFonts w:hint="default" w:ascii="Times New Roman" w:hAnsi="Times New Roman" w:cs="Times New Roman"/>
                <w:b w:val="0"/>
                <w:bCs w:val="0"/>
                <w:color w:val="000000" w:themeColor="text1"/>
                <w:sz w:val="24"/>
                <w:u w:val="single"/>
                <w:lang w:val="en-US" w:eastAsia="zh-CN"/>
                <w14:textFill>
                  <w14:solidFill>
                    <w14:schemeClr w14:val="tx1"/>
                  </w14:solidFill>
                </w14:textFill>
              </w:rPr>
              <w:t>施工期生态环境保护措施在《</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邵阳县郦家坪光伏发电项目</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环境影响报告表</w:t>
            </w:r>
            <w:r>
              <w:rPr>
                <w:rFonts w:hint="default" w:ascii="Times New Roman" w:hAnsi="Times New Roman" w:cs="Times New Roman"/>
                <w:b w:val="0"/>
                <w:bCs w:val="0"/>
                <w:color w:val="000000" w:themeColor="text1"/>
                <w:sz w:val="24"/>
                <w:u w:val="single"/>
                <w:lang w:val="en-US" w:eastAsia="zh-CN"/>
                <w14:textFill>
                  <w14:solidFill>
                    <w14:schemeClr w14:val="tx1"/>
                  </w14:solidFill>
                </w14:textFill>
              </w:rPr>
              <w:t>》已做分析。因此施工期生态环境保护措施引用《</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邵阳县郦家坪光伏发电项目</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环境影响报告表</w:t>
            </w:r>
            <w:r>
              <w:rPr>
                <w:rFonts w:hint="default" w:ascii="Times New Roman" w:hAnsi="Times New Roman" w:cs="Times New Roman"/>
                <w:b w:val="0"/>
                <w:bCs w:val="0"/>
                <w:color w:val="000000" w:themeColor="text1"/>
                <w:sz w:val="24"/>
                <w:u w:val="single"/>
                <w:lang w:val="en-US" w:eastAsia="zh-CN"/>
                <w14:textFill>
                  <w14:solidFill>
                    <w14:schemeClr w14:val="tx1"/>
                  </w14:solidFill>
                </w14:textFill>
              </w:rPr>
              <w:t>》中相关内容。</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1、主要环境保护措施</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（1）</w:t>
            </w:r>
            <w:r>
              <w:rPr>
                <w:rFonts w:hint="default" w:ascii="Times New Roman" w:hAnsi="Times New Roman" w:cs="Times New Roman"/>
                <w:b/>
                <w:bCs/>
                <w:color w:val="000000" w:themeColor="text1"/>
                <w:sz w:val="24"/>
                <w14:textFill>
                  <w14:solidFill>
                    <w14:schemeClr w14:val="tx1"/>
                  </w14:solidFill>
                </w14:textFill>
              </w:rPr>
              <w:t>植被保护和恢复措施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为减轻项目施工过程中对植被的影响，本环评提出以下建议及措施：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①严格控制施工活动在征地红线范围内进行，严格控制施工作业区域，减少不必要的碾压和破坏。</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②挖方时应尽量将表层土（地表30cm 厚）与下层土分开，将剥离的表层土单独堆放，并做临时围挡和遮盖，待建成后覆土，恢复原貌</w:t>
            </w:r>
            <w:r>
              <w:rPr>
                <w:rFonts w:hint="default" w:ascii="Times New Roman" w:hAnsi="Times New Roman" w:cs="Times New Roman"/>
                <w:color w:val="000000" w:themeColor="text1"/>
                <w:sz w:val="24"/>
                <w:lang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③优化施工方案及施工工艺，严格按照施工时序进行施工，减轻施工期对植被环境的影响。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④对施工占地破坏植被而造成裸露的土地应在施工结束后立即整治利用，尽量采用当地土种进行植被补充，保证项目建设后生物量不减少，生态环境质量不降低。</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（3）动物保护措施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b w:val="0"/>
                <w:bCs w:val="0"/>
                <w:color w:val="000000" w:themeColor="text1"/>
                <w:sz w:val="24"/>
                <w:lang w:val="en-US" w:eastAsia="zh-CN"/>
                <w14:textFill>
                  <w14:solidFill>
                    <w14:schemeClr w14:val="tx1"/>
                  </w14:solidFill>
                </w14:textFill>
              </w:rPr>
              <w:t>为减轻项目施工过程中对动物的影响，本环评提出以下建议：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b w:val="0"/>
                <w:bCs w:val="0"/>
                <w:color w:val="000000" w:themeColor="text1"/>
                <w:sz w:val="24"/>
                <w:lang w:val="en-US" w:eastAsia="zh-CN"/>
                <w14:textFill>
                  <w14:solidFill>
                    <w14:schemeClr w14:val="tx1"/>
                  </w14:solidFill>
                </w14:textFill>
              </w:rPr>
              <w:t>①施工过程中应尽量减少对动物栖息地生境的破坏，特别是对树木的砍伐。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b w:val="0"/>
                <w:bCs w:val="0"/>
                <w:color w:val="000000" w:themeColor="text1"/>
                <w:sz w:val="24"/>
                <w:lang w:val="en-US" w:eastAsia="zh-CN"/>
                <w14:textFill>
                  <w14:solidFill>
                    <w14:schemeClr w14:val="tx1"/>
                  </w14:solidFill>
                </w14:textFill>
              </w:rPr>
              <w:t>②加强施工期环境管理和动物保护宣传，对施工人员定期开展动物保护知识教育，提高施工人员的动物保护意识，严禁狩猎动物；在施工场地内设置动物保护警示牌。</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14:textFill>
                  <w14:solidFill>
                    <w14:schemeClr w14:val="tx1"/>
                  </w14:solidFill>
                </w14:textFill>
              </w:rPr>
              <w:t>水土流失保护措施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b w:val="0"/>
                <w:bCs w:val="0"/>
                <w:color w:val="000000" w:themeColor="text1"/>
                <w:sz w:val="24"/>
                <w:lang w:val="en-US" w:eastAsia="zh-CN"/>
                <w14:textFill>
                  <w14:solidFill>
                    <w14:schemeClr w14:val="tx1"/>
                  </w14:solidFill>
                </w14:textFill>
              </w:rPr>
              <w:t>升压站建成后，大部分区域将被硬化和建筑覆盖，水土流失主要发生在场地平整及建构物基础开挖期间，该区域施工期间水土保持要求如下；</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b w:val="0"/>
                <w:bCs w:val="0"/>
                <w:color w:val="000000" w:themeColor="text1"/>
                <w:sz w:val="24"/>
                <w:lang w:val="en-US" w:eastAsia="zh-CN"/>
                <w14:textFill>
                  <w14:solidFill>
                    <w14:schemeClr w14:val="tx1"/>
                  </w14:solidFill>
                </w14:textFill>
              </w:rPr>
              <w:t>①优化施工组织，大量土石开挖尽量避开大雨、大风天气，避免造成大量水土流失；</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b w:val="0"/>
                <w:bCs w:val="0"/>
                <w:color w:val="000000" w:themeColor="text1"/>
                <w:sz w:val="24"/>
                <w:lang w:val="en-US" w:eastAsia="zh-CN"/>
                <w14:textFill>
                  <w14:solidFill>
                    <w14:schemeClr w14:val="tx1"/>
                  </w14:solidFill>
                </w14:textFill>
              </w:rPr>
              <w:t>②优化施工工艺，场地平整尽量区域内平衡，避免产生大量弃渣，回填土石方需要临时堆场时，应及时采取临时防护措施；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b w:val="0"/>
                <w:bCs w:val="0"/>
                <w:color w:val="000000" w:themeColor="text1"/>
                <w:sz w:val="24"/>
                <w:lang w:val="en-US" w:eastAsia="zh-CN"/>
                <w14:textFill>
                  <w14:solidFill>
                    <w14:schemeClr w14:val="tx1"/>
                  </w14:solidFill>
                </w14:textFill>
              </w:rPr>
              <w:t>③施工结束后，及时对裸露地表采取防护措施。</w:t>
            </w:r>
          </w:p>
          <w:p>
            <w:pPr>
              <w:keepNext w:val="0"/>
              <w:keepLines w:val="0"/>
              <w:widowControl/>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kern w:val="0"/>
                <w:sz w:val="24"/>
                <w:lang w:val="en-US" w:eastAsia="zh-CN" w:bidi="ar"/>
                <w14:textFill>
                  <w14:solidFill>
                    <w14:schemeClr w14:val="tx1"/>
                  </w14:solidFill>
                </w14:textFill>
              </w:rPr>
              <w:t>2、</w:t>
            </w:r>
            <w:r>
              <w:rPr>
                <w:rFonts w:hint="default" w:ascii="Times New Roman" w:hAnsi="Times New Roman" w:cs="Times New Roman"/>
                <w:b/>
                <w:bCs/>
                <w:color w:val="000000" w:themeColor="text1"/>
                <w:kern w:val="0"/>
                <w:sz w:val="24"/>
                <w:lang w:bidi="ar"/>
                <w14:textFill>
                  <w14:solidFill>
                    <w14:schemeClr w14:val="tx1"/>
                  </w14:solidFill>
                </w14:textFill>
              </w:rPr>
              <w:t>大气环境保护措施</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施工扬尘尽管是短期行为，但也会对附近区域环境带来不利影响，所以在施工期间要采取积极有效的措施减轻扬尘的产生，防止扬尘扩散，具体环保要求如下：</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①砂石料堆放场、临时表土堆放场等粉粒状物料堆场选址应远离</w:t>
            </w:r>
            <w:r>
              <w:rPr>
                <w:rFonts w:hint="default" w:ascii="Times New Roman" w:hAnsi="Times New Roman" w:cs="Times New Roman"/>
                <w:color w:val="000000" w:themeColor="text1"/>
                <w:kern w:val="0"/>
                <w:sz w:val="24"/>
                <w:lang w:val="en-US" w:eastAsia="zh-CN" w:bidi="ar"/>
                <w14:textFill>
                  <w14:solidFill>
                    <w14:schemeClr w14:val="tx1"/>
                  </w14:solidFill>
                </w14:textFill>
              </w:rPr>
              <w:t>居民</w:t>
            </w:r>
            <w:r>
              <w:rPr>
                <w:rFonts w:hint="default" w:ascii="Times New Roman" w:hAnsi="Times New Roman" w:cs="Times New Roman"/>
                <w:color w:val="000000" w:themeColor="text1"/>
                <w:kern w:val="0"/>
                <w:sz w:val="24"/>
                <w:lang w:bidi="ar"/>
                <w14:textFill>
                  <w14:solidFill>
                    <w14:schemeClr w14:val="tx1"/>
                  </w14:solidFill>
                </w14:textFill>
              </w:rPr>
              <w:t>等环境敏感点，同时采用篷布覆盖、洒水降尘等措施，减轻风动扬尘的影响。</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②定期对施工场地、施工道路进行洒水降尘，并视天气情况增加洒水降尘频次。</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③加强运输车辆管理。运输车辆货斗应加盖篷布，减少物料洒落；车辆进入施工场地减速慢行，减少扰动；施工场地出口处设置洗车设施，对车辆进行冲洗，保持运输车辆车身整洁，减少运输道路扬尘的产生。</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④尽量避开大风天施工作业，减轻风动扬尘影响。</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⑤施工场地四周设置围墙围挡及场地洒水。</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⑥</w:t>
            </w:r>
            <w:r>
              <w:rPr>
                <w:rFonts w:hint="default" w:ascii="Times New Roman" w:hAnsi="Times New Roman" w:cs="Times New Roman"/>
                <w:color w:val="000000" w:themeColor="text1"/>
                <w:kern w:val="0"/>
                <w:sz w:val="24"/>
                <w:lang w:bidi="ar"/>
                <w14:textFill>
                  <w14:solidFill>
                    <w14:schemeClr w14:val="tx1"/>
                  </w14:solidFill>
                </w14:textFill>
              </w:rPr>
              <w:t>对不能及时回填，临时堆弃场地的土堆、料堆的堆放应定点定位，要有遮盖或洒水，禁止现场搅拌混凝土。</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⑦尽快恢复临时占地范围内的植被，减少风蚀强度。</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⑧做到建筑施工现场100%围挡；工地裸土100%覆盖；工地主要路面100%硬化；拆除工程100%洒水抑尘；出工地运输车辆100%冲净无撒漏；裸露场地100%覆盖；标牌设置率达100%。</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通过落实</w:t>
            </w:r>
            <w:r>
              <w:rPr>
                <w:rFonts w:hint="default" w:ascii="Times New Roman" w:hAnsi="Times New Roman" w:eastAsia="宋体" w:cs="Times New Roman"/>
                <w:color w:val="000000" w:themeColor="text1"/>
                <w:sz w:val="24"/>
                <w:szCs w:val="24"/>
                <w14:textFill>
                  <w14:solidFill>
                    <w14:schemeClr w14:val="tx1"/>
                  </w14:solidFill>
                </w14:textFill>
              </w:rPr>
              <w:t>建筑施工工地采取工地周边围挡、物料堆放覆盖、土方开挖湿法作业、路面硬化、出入车辆清洗、渣土车辆密闭运输“六个百分之百”措施，可有效减少施工扬尘。</w:t>
            </w:r>
          </w:p>
          <w:p>
            <w:pPr>
              <w:keepNext w:val="0"/>
              <w:keepLines w:val="0"/>
              <w:widowControl/>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kern w:val="0"/>
                <w:sz w:val="24"/>
                <w:lang w:val="en-US" w:eastAsia="zh-CN" w:bidi="ar"/>
                <w14:textFill>
                  <w14:solidFill>
                    <w14:schemeClr w14:val="tx1"/>
                  </w14:solidFill>
                </w14:textFill>
              </w:rPr>
              <w:t>3、</w:t>
            </w:r>
            <w:r>
              <w:rPr>
                <w:rFonts w:hint="default" w:ascii="Times New Roman" w:hAnsi="Times New Roman" w:cs="Times New Roman"/>
                <w:b/>
                <w:bCs/>
                <w:color w:val="000000" w:themeColor="text1"/>
                <w:kern w:val="0"/>
                <w:sz w:val="24"/>
                <w:lang w:bidi="ar"/>
                <w14:textFill>
                  <w14:solidFill>
                    <w14:schemeClr w14:val="tx1"/>
                  </w14:solidFill>
                </w14:textFill>
              </w:rPr>
              <w:t xml:space="preserve">地表水环境保护措施 </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本项目施工期废水主要为施工废水和生活污水。施工废水污染的控制措施：</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①施工期生产废水主要是施工过程中混凝土搅拌产生的水泥浆水，该部分废水中SS 浓度较高，因此，必须使用商品混凝土，且不在现场搅拌，以减轻污染。</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②在施工过程中应加强对机械设备的检修，以防止设备漏油现象的发生；施工机械设备的维修应在专业厂家进行，防止施工现场地表油类污染，以减小初期雨水的油类污染物负荷。</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③在</w:t>
            </w:r>
            <w:r>
              <w:rPr>
                <w:rFonts w:hint="default" w:ascii="Times New Roman" w:hAnsi="Times New Roman" w:cs="Times New Roman"/>
                <w:color w:val="000000" w:themeColor="text1"/>
                <w:kern w:val="0"/>
                <w:sz w:val="24"/>
                <w:lang w:val="en-US" w:eastAsia="zh-CN" w:bidi="ar"/>
                <w14:textFill>
                  <w14:solidFill>
                    <w14:schemeClr w14:val="tx1"/>
                  </w14:solidFill>
                </w14:textFill>
              </w:rPr>
              <w:t>项目</w:t>
            </w:r>
            <w:r>
              <w:rPr>
                <w:rFonts w:hint="default" w:ascii="Times New Roman" w:hAnsi="Times New Roman" w:cs="Times New Roman"/>
                <w:color w:val="000000" w:themeColor="text1"/>
                <w:kern w:val="0"/>
                <w:sz w:val="24"/>
                <w:lang w:bidi="ar"/>
                <w14:textFill>
                  <w14:solidFill>
                    <w14:schemeClr w14:val="tx1"/>
                  </w14:solidFill>
                </w14:textFill>
              </w:rPr>
              <w:t>施工区域周边设置截（排）雨水沟，排除周边汇集雨水，排水沟末端设置临时沉砂池。施工空地内建有沉淀池，施工各阶段产生的废水及车辆冲洗废水全部排入沉淀池内，经简单沉淀处理后，可用于施工场地内喷洒降尘或回用于对水质要求不高的施工工序中。</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④采取措施控制地表降尘积累，以减小降水前地表积累的污染负荷。</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fldChar w:fldCharType="begin"/>
            </w:r>
            <w:r>
              <w:rPr>
                <w:rFonts w:hint="default" w:ascii="Times New Roman" w:hAnsi="Times New Roman" w:cs="Times New Roman"/>
                <w:color w:val="000000" w:themeColor="text1"/>
                <w:kern w:val="0"/>
                <w:sz w:val="24"/>
                <w:lang w:bidi="ar"/>
                <w14:textFill>
                  <w14:solidFill>
                    <w14:schemeClr w14:val="tx1"/>
                  </w14:solidFill>
                </w14:textFill>
              </w:rPr>
              <w:instrText xml:space="preserve"> = 5 \* GB3 \* MERGEFORMAT </w:instrText>
            </w:r>
            <w:r>
              <w:rPr>
                <w:rFonts w:hint="default" w:ascii="Times New Roman" w:hAnsi="Times New Roman" w:cs="Times New Roman"/>
                <w:color w:val="000000" w:themeColor="text1"/>
                <w:kern w:val="0"/>
                <w:sz w:val="24"/>
                <w:lang w:bidi="ar"/>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⑤</w:t>
            </w:r>
            <w:r>
              <w:rPr>
                <w:rFonts w:hint="default" w:ascii="Times New Roman" w:hAnsi="Times New Roman" w:cs="Times New Roman"/>
                <w:color w:val="000000" w:themeColor="text1"/>
                <w:kern w:val="0"/>
                <w:sz w:val="24"/>
                <w:lang w:bidi="ar"/>
                <w14:textFill>
                  <w14:solidFill>
                    <w14:schemeClr w14:val="tx1"/>
                  </w14:solidFill>
                </w14:textFill>
              </w:rPr>
              <w:fldChar w:fldCharType="end"/>
            </w:r>
            <w:r>
              <w:rPr>
                <w:rFonts w:hint="default" w:ascii="Times New Roman" w:hAnsi="Times New Roman" w:cs="Times New Roman"/>
                <w:color w:val="000000" w:themeColor="text1"/>
                <w:kern w:val="0"/>
                <w:sz w:val="24"/>
                <w:lang w:bidi="ar"/>
                <w14:textFill>
                  <w14:solidFill>
                    <w14:schemeClr w14:val="tx1"/>
                  </w14:solidFill>
                </w14:textFill>
              </w:rPr>
              <w:t>合理选择施工工期，尽量避免在雨季。在施工完成后，不得闲置土地，应尽快对建设区进行环境绿化工程和地面硬化的建设，使场地土面及时得到绿化覆盖和硬化，避免水土流失，美化环境。</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fldChar w:fldCharType="begin"/>
            </w:r>
            <w:r>
              <w:rPr>
                <w:rFonts w:hint="default" w:ascii="Times New Roman" w:hAnsi="Times New Roman" w:cs="Times New Roman"/>
                <w:color w:val="000000" w:themeColor="text1"/>
                <w:kern w:val="0"/>
                <w:sz w:val="24"/>
                <w:lang w:bidi="ar"/>
                <w14:textFill>
                  <w14:solidFill>
                    <w14:schemeClr w14:val="tx1"/>
                  </w14:solidFill>
                </w14:textFill>
              </w:rPr>
              <w:instrText xml:space="preserve"> = 6 \* GB3 \* MERGEFORMAT </w:instrText>
            </w:r>
            <w:r>
              <w:rPr>
                <w:rFonts w:hint="default" w:ascii="Times New Roman" w:hAnsi="Times New Roman" w:cs="Times New Roman"/>
                <w:color w:val="000000" w:themeColor="text1"/>
                <w:kern w:val="0"/>
                <w:sz w:val="24"/>
                <w:lang w:bidi="ar"/>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⑥</w:t>
            </w:r>
            <w:r>
              <w:rPr>
                <w:rFonts w:hint="default" w:ascii="Times New Roman" w:hAnsi="Times New Roman" w:cs="Times New Roman"/>
                <w:color w:val="000000" w:themeColor="text1"/>
                <w:kern w:val="0"/>
                <w:sz w:val="24"/>
                <w:lang w:bidi="ar"/>
                <w14:textFill>
                  <w14:solidFill>
                    <w14:schemeClr w14:val="tx1"/>
                  </w14:solidFill>
                </w14:textFill>
              </w:rPr>
              <w:fldChar w:fldCharType="end"/>
            </w:r>
            <w:r>
              <w:rPr>
                <w:rFonts w:hint="default" w:ascii="Times New Roman" w:hAnsi="Times New Roman" w:cs="Times New Roman"/>
                <w:color w:val="000000" w:themeColor="text1"/>
                <w:kern w:val="0"/>
                <w:sz w:val="24"/>
                <w:lang w:bidi="ar"/>
                <w14:textFill>
                  <w14:solidFill>
                    <w14:schemeClr w14:val="tx1"/>
                  </w14:solidFill>
                </w14:textFill>
              </w:rPr>
              <w:t>施工人员生活污水排入临时化粪池后，定期由附近村民清掏用作农肥，不外排。</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综上所述，采取上述措施后，施工期无废水外排，对周边环境</w:t>
            </w:r>
            <w:r>
              <w:rPr>
                <w:rFonts w:hint="default" w:ascii="Times New Roman" w:hAnsi="Times New Roman" w:cs="Times New Roman"/>
                <w:color w:val="000000" w:themeColor="text1"/>
                <w:kern w:val="0"/>
                <w:sz w:val="24"/>
                <w:lang w:eastAsia="zh-CN" w:bidi="ar"/>
                <w14:textFill>
                  <w14:solidFill>
                    <w14:schemeClr w14:val="tx1"/>
                  </w14:solidFill>
                </w14:textFill>
              </w:rPr>
              <w:t>及饮用水源保护区的</w:t>
            </w:r>
            <w:r>
              <w:rPr>
                <w:rFonts w:hint="default" w:ascii="Times New Roman" w:hAnsi="Times New Roman" w:cs="Times New Roman"/>
                <w:color w:val="000000" w:themeColor="text1"/>
                <w:kern w:val="0"/>
                <w:sz w:val="24"/>
                <w:lang w:bidi="ar"/>
                <w14:textFill>
                  <w14:solidFill>
                    <w14:schemeClr w14:val="tx1"/>
                  </w14:solidFill>
                </w14:textFill>
              </w:rPr>
              <w:t>影响很小。</w:t>
            </w:r>
          </w:p>
          <w:p>
            <w:pPr>
              <w:keepNext w:val="0"/>
              <w:keepLines w:val="0"/>
              <w:widowControl/>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kern w:val="0"/>
                <w:sz w:val="24"/>
                <w:lang w:val="en-US" w:eastAsia="zh-CN" w:bidi="ar"/>
                <w14:textFill>
                  <w14:solidFill>
                    <w14:schemeClr w14:val="tx1"/>
                  </w14:solidFill>
                </w14:textFill>
              </w:rPr>
              <w:t>4、</w:t>
            </w:r>
            <w:r>
              <w:rPr>
                <w:rFonts w:hint="default" w:ascii="Times New Roman" w:hAnsi="Times New Roman" w:cs="Times New Roman"/>
                <w:b/>
                <w:bCs/>
                <w:color w:val="000000" w:themeColor="text1"/>
                <w:kern w:val="0"/>
                <w:sz w:val="24"/>
                <w:lang w:bidi="ar"/>
                <w14:textFill>
                  <w14:solidFill>
                    <w14:schemeClr w14:val="tx1"/>
                  </w14:solidFill>
                </w14:textFill>
              </w:rPr>
              <w:t xml:space="preserve">声环境保护措施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bookmarkStart w:id="18" w:name="OLE_LINK38"/>
            <w:r>
              <w:rPr>
                <w:rFonts w:hint="default" w:ascii="Times New Roman" w:hAnsi="Times New Roman" w:cs="Times New Roman"/>
                <w:snapToGrid w:val="0"/>
                <w:color w:val="000000" w:themeColor="text1"/>
                <w:sz w:val="24"/>
                <w:lang w:bidi="ar"/>
                <w14:textFill>
                  <w14:solidFill>
                    <w14:schemeClr w14:val="tx1"/>
                  </w14:solidFill>
                </w14:textFill>
              </w:rPr>
              <w:t>为减小</w:t>
            </w:r>
            <w:r>
              <w:rPr>
                <w:rFonts w:hint="default" w:ascii="Times New Roman" w:hAnsi="Times New Roman" w:cs="Times New Roman"/>
                <w:snapToGrid w:val="0"/>
                <w:color w:val="000000" w:themeColor="text1"/>
                <w:sz w:val="24"/>
                <w:lang w:val="en-US" w:eastAsia="zh-CN" w:bidi="ar"/>
                <w14:textFill>
                  <w14:solidFill>
                    <w14:schemeClr w14:val="tx1"/>
                  </w14:solidFill>
                </w14:textFill>
              </w:rPr>
              <w:t>施工</w:t>
            </w:r>
            <w:r>
              <w:rPr>
                <w:rFonts w:hint="default" w:ascii="Times New Roman" w:hAnsi="Times New Roman" w:cs="Times New Roman"/>
                <w:snapToGrid w:val="0"/>
                <w:color w:val="000000" w:themeColor="text1"/>
                <w:sz w:val="24"/>
                <w:lang w:bidi="ar"/>
                <w14:textFill>
                  <w14:solidFill>
                    <w14:schemeClr w14:val="tx1"/>
                  </w14:solidFill>
                </w14:textFill>
              </w:rPr>
              <w:t>噪声对周围环境的影响，建议建设单位采取以下措施以减轻其噪声的影响。</w:t>
            </w:r>
          </w:p>
          <w:bookmarkEnd w:id="18"/>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bidi="ar"/>
                <w14:textFill>
                  <w14:solidFill>
                    <w14:schemeClr w14:val="tx1"/>
                  </w14:solidFill>
                </w14:textFill>
              </w:rPr>
              <w:t>①合理安排施工时间。项目施工期应尽可能避免大量高噪声设备同时施工。高噪声施工时间尽量安排在昼间，减少夜间施工量，项目应在施工期间早6时前，晚22时后禁止施工。土方工程以及按照设计要求必须连续施工的工程，需要在22时至次日6时进行施工的，在施工前向工程所在地区的建设行政主管部门提出申请，经审查批准后到工程所在地区的环保部门备案；</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bidi="ar"/>
                <w14:textFill>
                  <w14:solidFill>
                    <w14:schemeClr w14:val="tx1"/>
                  </w14:solidFill>
                </w14:textFill>
              </w:rPr>
              <w:t>②降低设备声级。施工单位应尽量选用低噪声设备和工艺，加强检查、维护和保养机械设备，保持润滑，紧固各部件，减少运行震动噪声。整体设备安放稳固，并与地面保持良好接触，有条件的使用减振机座，降低噪声。闲置不用的设备应立即关闭，运输车辆进入现场应减速，并减少鸣笛；</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bidi="ar"/>
                <w14:textFill>
                  <w14:solidFill>
                    <w14:schemeClr w14:val="tx1"/>
                  </w14:solidFill>
                </w14:textFill>
              </w:rPr>
              <w:t>③降低人为噪声影响。基础和结构阶段施工应按操作规范操作机械设备等过程中减少碰撞噪声，并对工人进行环保方面的教育。少用哨子、钟、笛等指挥作业。在装卸过程中，禁止野蛮作业，减少作业噪声；</w:t>
            </w:r>
          </w:p>
          <w:p>
            <w:pPr>
              <w:pStyle w:val="19"/>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lang w:bidi="ar"/>
                <w14:textFill>
                  <w14:solidFill>
                    <w14:schemeClr w14:val="tx1"/>
                  </w14:solidFill>
                </w14:textFill>
              </w:rPr>
            </w:pPr>
            <w:r>
              <w:rPr>
                <w:rFonts w:hint="default" w:ascii="Times New Roman" w:hAnsi="Times New Roman" w:cs="Times New Roman"/>
                <w:color w:val="000000" w:themeColor="text1"/>
                <w:lang w:bidi="ar"/>
                <w14:textFill>
                  <w14:solidFill>
                    <w14:schemeClr w14:val="tx1"/>
                  </w14:solidFill>
                </w14:textFill>
              </w:rPr>
              <w:t>④</w:t>
            </w:r>
            <w:r>
              <w:rPr>
                <w:rFonts w:hint="default" w:ascii="Times New Roman" w:hAnsi="Times New Roman" w:cs="Times New Roman"/>
                <w:color w:val="000000" w:themeColor="text1"/>
                <w:sz w:val="24"/>
                <w:lang w:bidi="ar"/>
                <w14:textFill>
                  <w14:solidFill>
                    <w14:schemeClr w14:val="tx1"/>
                  </w14:solidFill>
                </w14:textFill>
              </w:rPr>
              <w:t>合理布置施工现场。施工现场应合理布局，将施工中的固定噪声源相对集中摆放，施工机械放置在远离施工场界</w:t>
            </w:r>
            <w:r>
              <w:rPr>
                <w:rFonts w:hint="default" w:ascii="Times New Roman" w:hAnsi="Times New Roman" w:cs="Times New Roman"/>
                <w:color w:val="000000" w:themeColor="text1"/>
                <w:sz w:val="24"/>
                <w:lang w:val="en-US" w:eastAsia="zh-CN" w:bidi="ar"/>
                <w14:textFill>
                  <w14:solidFill>
                    <w14:schemeClr w14:val="tx1"/>
                  </w14:solidFill>
                </w14:textFill>
              </w:rPr>
              <w:t>及声环境敏感点</w:t>
            </w:r>
            <w:r>
              <w:rPr>
                <w:rFonts w:hint="default" w:ascii="Times New Roman" w:hAnsi="Times New Roman" w:cs="Times New Roman"/>
                <w:color w:val="000000" w:themeColor="text1"/>
                <w:sz w:val="24"/>
                <w:lang w:bidi="ar"/>
                <w14:textFill>
                  <w14:solidFill>
                    <w14:schemeClr w14:val="tx1"/>
                  </w14:solidFill>
                </w14:textFill>
              </w:rPr>
              <w:t>的位置，降低施工噪声对周边声环境的影响；</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bidi="ar"/>
                <w14:textFill>
                  <w14:solidFill>
                    <w14:schemeClr w14:val="tx1"/>
                  </w14:solidFill>
                </w14:textFill>
              </w:rPr>
              <w:t>⑤合理安排物料运输时间，物料运输应避开交通高峰期，禁止夜间运输；合理安排物料运输线路，经过敏感点时应减速慢行、禁止鸣笛。</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bidi="ar"/>
                <w14:textFill>
                  <w14:solidFill>
                    <w14:schemeClr w14:val="tx1"/>
                  </w14:solidFill>
                </w14:textFill>
              </w:rPr>
              <w:t>施工噪声影响是暂时的，施工结束后便消失。采取以上措施可有效地控制施工期噪声对周围环境的影响，施工场界环境噪声满足《建筑施工场界环境噪声排放标准》（GB12523-2011）要求，对周围环境影响较小。</w:t>
            </w:r>
          </w:p>
          <w:p>
            <w:pPr>
              <w:keepNext w:val="0"/>
              <w:keepLines w:val="0"/>
              <w:widowControl/>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kern w:val="0"/>
                <w:sz w:val="24"/>
                <w:lang w:val="en-US" w:eastAsia="zh-CN" w:bidi="ar"/>
                <w14:textFill>
                  <w14:solidFill>
                    <w14:schemeClr w14:val="tx1"/>
                  </w14:solidFill>
                </w14:textFill>
              </w:rPr>
              <w:t>5、固体废物</w:t>
            </w:r>
            <w:r>
              <w:rPr>
                <w:rFonts w:hint="default" w:ascii="Times New Roman" w:hAnsi="Times New Roman" w:cs="Times New Roman"/>
                <w:b/>
                <w:bCs/>
                <w:color w:val="000000" w:themeColor="text1"/>
                <w:kern w:val="0"/>
                <w:sz w:val="24"/>
                <w:lang w:bidi="ar"/>
                <w14:textFill>
                  <w14:solidFill>
                    <w14:schemeClr w14:val="tx1"/>
                  </w14:solidFill>
                </w14:textFill>
              </w:rPr>
              <w:t xml:space="preserve">环境保护措施 </w:t>
            </w:r>
          </w:p>
          <w:p>
            <w:pPr>
              <w:keepNext w:val="0"/>
              <w:keepLines w:val="0"/>
              <w:widowControl/>
              <w:suppressLineNumbers w:val="0"/>
              <w:adjustRightInd w:val="0"/>
              <w:snapToGrid w:val="0"/>
              <w:spacing w:before="0" w:beforeAutospacing="0" w:after="0" w:afterAutospacing="0" w:line="360" w:lineRule="auto"/>
              <w:ind w:left="0" w:right="0" w:firstLine="456" w:firstLineChars="200"/>
              <w:jc w:val="left"/>
              <w:rPr>
                <w:rFonts w:hint="default" w:ascii="Times New Roman" w:hAnsi="Times New Roman" w:cs="Times New Roman"/>
                <w:color w:val="000000" w:themeColor="text1"/>
                <w:spacing w:val="-6"/>
                <w:sz w:val="24"/>
                <w14:textFill>
                  <w14:solidFill>
                    <w14:schemeClr w14:val="tx1"/>
                  </w14:solidFill>
                </w14:textFill>
              </w:rPr>
            </w:pPr>
            <w:r>
              <w:rPr>
                <w:rFonts w:hint="default" w:ascii="Times New Roman" w:hAnsi="Times New Roman" w:cs="Times New Roman"/>
                <w:color w:val="000000" w:themeColor="text1"/>
                <w:spacing w:val="-6"/>
                <w:sz w:val="24"/>
                <w14:textFill>
                  <w14:solidFill>
                    <w14:schemeClr w14:val="tx1"/>
                  </w14:solidFill>
                </w14:textFill>
              </w:rPr>
              <w:t>①废土石方：本项目场地内</w:t>
            </w:r>
            <w:r>
              <w:rPr>
                <w:rFonts w:hint="default" w:ascii="Times New Roman" w:hAnsi="Times New Roman" w:cs="Times New Roman"/>
                <w:color w:val="000000" w:themeColor="text1"/>
                <w:spacing w:val="-6"/>
                <w:sz w:val="24"/>
                <w:lang w:val="en-US" w:eastAsia="zh-CN"/>
                <w14:textFill>
                  <w14:solidFill>
                    <w14:schemeClr w14:val="tx1"/>
                  </w14:solidFill>
                </w14:textFill>
              </w:rPr>
              <w:t>多余的</w:t>
            </w:r>
            <w:r>
              <w:rPr>
                <w:rFonts w:hint="default" w:ascii="Times New Roman" w:hAnsi="Times New Roman" w:cs="Times New Roman"/>
                <w:color w:val="000000" w:themeColor="text1"/>
                <w:spacing w:val="-6"/>
                <w:sz w:val="24"/>
                <w14:textFill>
                  <w14:solidFill>
                    <w14:schemeClr w14:val="tx1"/>
                  </w14:solidFill>
                </w14:textFill>
              </w:rPr>
              <w:t>土石方</w:t>
            </w:r>
            <w:r>
              <w:rPr>
                <w:rFonts w:hint="default" w:ascii="Times New Roman" w:hAnsi="Times New Roman" w:cs="Times New Roman"/>
                <w:color w:val="000000" w:themeColor="text1"/>
                <w:spacing w:val="-6"/>
                <w:sz w:val="24"/>
                <w:lang w:val="en-US" w:eastAsia="zh-CN"/>
                <w14:textFill>
                  <w14:solidFill>
                    <w14:schemeClr w14:val="tx1"/>
                  </w14:solidFill>
                </w14:textFill>
              </w:rPr>
              <w:t>用于光伏场区回填，</w:t>
            </w:r>
            <w:r>
              <w:rPr>
                <w:rFonts w:hint="default" w:ascii="Times New Roman" w:hAnsi="Times New Roman" w:cs="Times New Roman"/>
                <w:color w:val="000000" w:themeColor="text1"/>
                <w:spacing w:val="-6"/>
                <w:sz w:val="24"/>
                <w14:textFill>
                  <w14:solidFill>
                    <w14:schemeClr w14:val="tx1"/>
                  </w14:solidFill>
                </w14:textFill>
              </w:rPr>
              <w:t>不产生弃土。</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②建筑垃圾：本项目施工期施工过程中会产生少量建筑垃圾，建筑垃圾分类收集，</w:t>
            </w:r>
            <w:r>
              <w:rPr>
                <w:rFonts w:hint="default" w:ascii="Times New Roman" w:hAnsi="Times New Roman" w:cs="Times New Roman"/>
                <w:color w:val="000000" w:themeColor="text1"/>
                <w:sz w:val="24"/>
                <w:lang w:eastAsia="zh-CN"/>
                <w14:textFill>
                  <w14:solidFill>
                    <w14:schemeClr w14:val="tx1"/>
                  </w14:solidFill>
                </w14:textFill>
              </w:rPr>
              <w:t>可回收部分</w:t>
            </w:r>
            <w:r>
              <w:rPr>
                <w:rFonts w:hint="default" w:ascii="Times New Roman" w:hAnsi="Times New Roman" w:cs="Times New Roman"/>
                <w:color w:val="000000" w:themeColor="text1"/>
                <w:sz w:val="24"/>
                <w14:textFill>
                  <w14:solidFill>
                    <w14:schemeClr w14:val="tx1"/>
                  </w14:solidFill>
                </w14:textFill>
              </w:rPr>
              <w:t>出售给废品回收商；不可回收部分集中收集后，按照当地管理部门要求处置。</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③生活垃圾：生活垃圾集中收集于垃圾桶内，定期清运至周边村庄，依托当地生活垃圾收集处理设施处理。</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④加强施工期固体废物管理，严禁就地焚烧垃圾。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08"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pacing w:val="10"/>
                <w:sz w:val="24"/>
                <w:szCs w:val="24"/>
                <w14:textFill>
                  <w14:solidFill>
                    <w14:schemeClr w14:val="tx1"/>
                  </w14:solidFill>
                </w14:textFill>
              </w:rPr>
              <w:t>运营期生态环境保护措施</w:t>
            </w:r>
          </w:p>
        </w:tc>
        <w:tc>
          <w:tcPr>
            <w:tcW w:w="4591" w:type="pct"/>
            <w:noWrap w:val="0"/>
            <w:vAlign w:val="top"/>
          </w:tcPr>
          <w:p>
            <w:pPr>
              <w:keepNext w:val="0"/>
              <w:keepLines w:val="0"/>
              <w:widowControl/>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1、生态环境保护措施</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减少升压站占地造成的生态影响，企业通过在占地范围内种植草木，增加绿化面积进行补偿，减少对植被影响及破坏。在种植过程中，选择当地物种或在当地多年引种成熟的植物进行植被重建。必要时对土壤施加肥料，并设立专门人员负责植被恢复工作落实，提高植被恢复成活率。</w:t>
            </w:r>
          </w:p>
          <w:p>
            <w:pPr>
              <w:keepNext w:val="0"/>
              <w:keepLines w:val="0"/>
              <w:widowControl/>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2、废气污染防治措施</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t>项目废气主要为食堂油烟，食堂油烟通过采取油烟净化</w:t>
            </w:r>
            <w:r>
              <w:rPr>
                <w:rFonts w:hint="default" w:ascii="Times New Roman" w:hAnsi="Times New Roman" w:cs="Times New Roman"/>
                <w:b w:val="0"/>
                <w:bCs w:val="0"/>
                <w:color w:val="000000" w:themeColor="text1"/>
                <w:kern w:val="0"/>
                <w:sz w:val="24"/>
                <w:lang w:val="en-US" w:eastAsia="zh-CN" w:bidi="ar"/>
                <w14:textFill>
                  <w14:solidFill>
                    <w14:schemeClr w14:val="tx1"/>
                  </w14:solidFill>
                </w14:textFill>
              </w:rPr>
              <w:t>设施</w:t>
            </w: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t>处理后排放；</w:t>
            </w:r>
            <w:r>
              <w:rPr>
                <w:rFonts w:hint="default" w:ascii="Times New Roman" w:hAnsi="Times New Roman" w:cs="Times New Roman"/>
                <w:b w:val="0"/>
                <w:bCs w:val="0"/>
                <w:color w:val="000000" w:themeColor="text1"/>
                <w:kern w:val="0"/>
                <w:sz w:val="24"/>
                <w:lang w:val="en-US" w:eastAsia="zh-CN" w:bidi="ar"/>
                <w14:textFill>
                  <w14:solidFill>
                    <w14:schemeClr w14:val="tx1"/>
                  </w14:solidFill>
                </w14:textFill>
              </w:rPr>
              <w:t>一体化污水处理设施</w:t>
            </w: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t>采取加盖密封，及时清掏，并在四周加强绿化；种植乔灌木相结合的植被等控制措施；</w:t>
            </w:r>
            <w:r>
              <w:rPr>
                <w:rFonts w:hint="default" w:ascii="Times New Roman" w:hAnsi="Times New Roman" w:eastAsia="宋体" w:cs="Times New Roman"/>
                <w:color w:val="000000" w:themeColor="text1"/>
                <w:sz w:val="24"/>
                <w:szCs w:val="24"/>
                <w14:textFill>
                  <w14:solidFill>
                    <w14:schemeClr w14:val="tx1"/>
                  </w14:solidFill>
                </w14:textFill>
              </w:rPr>
              <w:t>垃圾收集桶加盖密封，垃圾及时清运出场。</w:t>
            </w: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t>因此，项目废气排放不会对周围大气环境造成明显影响。</w:t>
            </w:r>
          </w:p>
          <w:p>
            <w:pPr>
              <w:keepNext w:val="0"/>
              <w:keepLines w:val="0"/>
              <w:widowControl/>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3、废水污染防治措施</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t>为减少营运期废水对周围环境的影响建设单位应采取如下措施：</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t>①</w:t>
            </w:r>
            <w:r>
              <w:rPr>
                <w:rFonts w:hint="default" w:ascii="Times New Roman" w:hAnsi="Times New Roman" w:cs="Times New Roman"/>
                <w:b w:val="0"/>
                <w:bCs w:val="0"/>
                <w:color w:val="000000" w:themeColor="text1"/>
                <w:kern w:val="0"/>
                <w:sz w:val="24"/>
                <w:lang w:val="en-US" w:eastAsia="zh-CN" w:bidi="ar"/>
                <w14:textFill>
                  <w14:solidFill>
                    <w14:schemeClr w14:val="tx1"/>
                  </w14:solidFill>
                </w14:textFill>
              </w:rPr>
              <w:t>生活污水经一体化污水处理设施</w:t>
            </w:r>
            <w:r>
              <w:rPr>
                <w:rFonts w:hint="eastAsia" w:cs="Times New Roman"/>
                <w:b w:val="0"/>
                <w:bCs w:val="0"/>
                <w:color w:val="000000" w:themeColor="text1"/>
                <w:kern w:val="0"/>
                <w:sz w:val="24"/>
                <w:lang w:val="en-US" w:eastAsia="zh-CN" w:bidi="ar"/>
                <w14:textFill>
                  <w14:solidFill>
                    <w14:schemeClr w14:val="tx1"/>
                  </w14:solidFill>
                </w14:textFill>
              </w:rPr>
              <w:t>（处理规模为1.0 t/d）</w:t>
            </w:r>
            <w:r>
              <w:rPr>
                <w:rFonts w:hint="default" w:ascii="Times New Roman" w:hAnsi="Times New Roman" w:cs="Times New Roman"/>
                <w:b w:val="0"/>
                <w:bCs w:val="0"/>
                <w:color w:val="000000" w:themeColor="text1"/>
                <w:kern w:val="0"/>
                <w:sz w:val="24"/>
                <w:lang w:val="en-US" w:eastAsia="zh-CN" w:bidi="ar"/>
                <w14:textFill>
                  <w14:solidFill>
                    <w14:schemeClr w14:val="tx1"/>
                  </w14:solidFill>
                </w14:textFill>
              </w:rPr>
              <w:t>处理后用于站内绿化不外排</w:t>
            </w: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t>。</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t>②</w:t>
            </w:r>
            <w:r>
              <w:rPr>
                <w:rFonts w:hint="default" w:ascii="Times New Roman" w:hAnsi="Times New Roman" w:cs="Times New Roman"/>
                <w:b w:val="0"/>
                <w:bCs w:val="0"/>
                <w:color w:val="000000" w:themeColor="text1"/>
                <w:kern w:val="0"/>
                <w:sz w:val="24"/>
                <w:lang w:val="en-US" w:eastAsia="zh-CN" w:bidi="ar"/>
                <w14:textFill>
                  <w14:solidFill>
                    <w14:schemeClr w14:val="tx1"/>
                  </w14:solidFill>
                </w14:textFill>
              </w:rPr>
              <w:t>污水处理设施</w:t>
            </w: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t>进行防渗处理，按一般防渗区进行建设，防渗技术要求为：等效黏土防渗层Mb≥1.5m，K≤1×10</w:t>
            </w:r>
            <w:r>
              <w:rPr>
                <w:rFonts w:hint="default" w:ascii="Times New Roman" w:hAnsi="Times New Roman" w:eastAsia="宋体" w:cs="Times New Roman"/>
                <w:b w:val="0"/>
                <w:bCs w:val="0"/>
                <w:color w:val="000000" w:themeColor="text1"/>
                <w:kern w:val="0"/>
                <w:sz w:val="24"/>
                <w:vertAlign w:val="superscript"/>
                <w:lang w:val="en-US" w:eastAsia="zh-CN" w:bidi="ar"/>
                <w14:textFill>
                  <w14:solidFill>
                    <w14:schemeClr w14:val="tx1"/>
                  </w14:solidFill>
                </w14:textFill>
              </w:rPr>
              <w:t>-7</w:t>
            </w: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t xml:space="preserve"> cm/s。</w:t>
            </w:r>
          </w:p>
          <w:p>
            <w:pPr>
              <w:keepNext w:val="0"/>
              <w:keepLines w:val="0"/>
              <w:widowControl/>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4、噪声污染防治措施</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t>为减少营运期噪声对周围环境的影响建设单位应采取如下措施：</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t>①</w:t>
            </w:r>
            <w:r>
              <w:rPr>
                <w:rFonts w:hint="default" w:ascii="Times New Roman" w:hAnsi="Times New Roman" w:eastAsia="宋体" w:cs="Times New Roman"/>
                <w:color w:val="000000" w:themeColor="text1"/>
                <w:sz w:val="24"/>
                <w:szCs w:val="24"/>
                <w:lang w:eastAsia="zh-CN"/>
                <w14:textFill>
                  <w14:solidFill>
                    <w14:schemeClr w14:val="tx1"/>
                  </w14:solidFill>
                </w14:textFill>
              </w:rPr>
              <w:t>合理布置</w:t>
            </w:r>
            <w:r>
              <w:rPr>
                <w:rFonts w:hint="default" w:ascii="Times New Roman" w:hAnsi="Times New Roman" w:cs="Times New Roman"/>
                <w:color w:val="000000" w:themeColor="text1"/>
                <w:sz w:val="24"/>
                <w:szCs w:val="24"/>
                <w:lang w:val="en-US" w:eastAsia="zh-CN"/>
                <w14:textFill>
                  <w14:solidFill>
                    <w14:schemeClr w14:val="tx1"/>
                  </w14:solidFill>
                </w14:textFill>
              </w:rPr>
              <w:t>平面布局</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并在</w:t>
            </w:r>
            <w:r>
              <w:rPr>
                <w:rFonts w:hint="default" w:ascii="Times New Roman" w:hAnsi="Times New Roman" w:eastAsia="宋体" w:cs="Times New Roman"/>
                <w:color w:val="000000" w:themeColor="text1"/>
                <w:sz w:val="24"/>
                <w:szCs w:val="24"/>
                <w:lang w:eastAsia="zh-CN"/>
                <w14:textFill>
                  <w14:solidFill>
                    <w14:schemeClr w14:val="tx1"/>
                  </w14:solidFill>
                </w14:textFill>
              </w:rPr>
              <w:t>变压器与地面之间安装阻尼弹簧减振器，能有效地隔断振动传递防止噪声辐射。</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t>②加强保养、检修等管理工作，确保设备正常运转。</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t>③升压站四周设置实体围墙，加强站区绿化种植，利用围墙和树木的隔声作用，减轻噪声影响。</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instrText xml:space="preserve"> = 4 \* GB3 \* MERGEFORMAT </w:instrText>
            </w: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④</w:t>
            </w: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fldChar w:fldCharType="end"/>
            </w: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t>水泵、风机等固定设备放置于室内，并加装减振垫、消声器等措施。</w:t>
            </w:r>
          </w:p>
          <w:p>
            <w:pPr>
              <w:keepNext w:val="0"/>
              <w:keepLines w:val="0"/>
              <w:widowControl/>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000000" w:themeColor="text1"/>
                <w:kern w:val="0"/>
                <w:sz w:val="24"/>
                <w:lang w:bidi="ar"/>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5、固体废物</w:t>
            </w:r>
            <w:r>
              <w:rPr>
                <w:rFonts w:hint="default" w:ascii="Times New Roman" w:hAnsi="Times New Roman" w:eastAsia="宋体" w:cs="Times New Roman"/>
                <w:b/>
                <w:bCs/>
                <w:color w:val="000000" w:themeColor="text1"/>
                <w:kern w:val="0"/>
                <w:sz w:val="24"/>
                <w:lang w:bidi="ar"/>
                <w14:textFill>
                  <w14:solidFill>
                    <w14:schemeClr w14:val="tx1"/>
                  </w14:solidFill>
                </w14:textFill>
              </w:rPr>
              <w:t>污染防治措施</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lang w:eastAsia="zh-CN" w:bidi="ar"/>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lang w:eastAsia="zh-CN" w:bidi="ar"/>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固体废物处置措施</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①生活垃圾集中收集于垃圾桶内，定期清运至周边村庄，依托当地生活垃圾收集处理设施处理；严禁就地焚烧生活垃圾。</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②废</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铅酸蓄</w:t>
            </w:r>
            <w:r>
              <w:rPr>
                <w:rFonts w:hint="default" w:ascii="Times New Roman" w:hAnsi="Times New Roman" w:eastAsia="宋体" w:cs="Times New Roman"/>
                <w:color w:val="000000" w:themeColor="text1"/>
                <w:kern w:val="0"/>
                <w:sz w:val="24"/>
                <w:lang w:bidi="ar"/>
                <w14:textFill>
                  <w14:solidFill>
                    <w14:schemeClr w14:val="tx1"/>
                  </w14:solidFill>
                </w14:textFill>
              </w:rPr>
              <w:t>电池集中收集后，贴好标识暂存于危险废物暂存间内，委托有资质单位定期清运处置，并做好转运台账记录。</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③变压器事故泄漏的变压油排入事故油池内，</w:t>
            </w:r>
            <w:r>
              <w:rPr>
                <w:rFonts w:hint="default" w:ascii="Times New Roman" w:hAnsi="Times New Roman" w:cs="Times New Roman"/>
                <w:color w:val="000000" w:themeColor="text1"/>
                <w:kern w:val="0"/>
                <w:sz w:val="24"/>
                <w:lang w:eastAsia="zh-CN" w:bidi="ar"/>
                <w14:textFill>
                  <w14:solidFill>
                    <w14:schemeClr w14:val="tx1"/>
                  </w14:solidFill>
                </w14:textFill>
              </w:rPr>
              <w:t>采</w:t>
            </w:r>
            <w:r>
              <w:rPr>
                <w:rFonts w:hint="default" w:ascii="Times New Roman" w:hAnsi="Times New Roman" w:eastAsia="宋体" w:cs="Times New Roman"/>
                <w:color w:val="000000" w:themeColor="text1"/>
                <w:kern w:val="0"/>
                <w:sz w:val="24"/>
                <w:lang w:bidi="ar"/>
                <w14:textFill>
                  <w14:solidFill>
                    <w14:schemeClr w14:val="tx1"/>
                  </w14:solidFill>
                </w14:textFill>
              </w:rPr>
              <w:t>用专用收集器收集后，委托有资质单位定期清运处置，并做好转运台账记录。</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kern w:val="0"/>
                <w:sz w:val="24"/>
                <w:lang w:eastAsia="zh-CN" w:bidi="ar"/>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lang w:eastAsia="zh-CN" w:bidi="ar"/>
                <w14:textFill>
                  <w14:solidFill>
                    <w14:schemeClr w14:val="tx1"/>
                  </w14:solidFill>
                </w14:textFill>
              </w:rPr>
              <w:t>）</w:t>
            </w:r>
            <w:r>
              <w:rPr>
                <w:rFonts w:hint="default" w:ascii="Times New Roman" w:hAnsi="Times New Roman" w:eastAsia="宋体" w:cs="Times New Roman"/>
                <w:color w:val="000000" w:themeColor="text1"/>
                <w:kern w:val="0"/>
                <w:sz w:val="24"/>
                <w:lang w:bidi="ar"/>
                <w14:textFill>
                  <w14:solidFill>
                    <w14:schemeClr w14:val="tx1"/>
                  </w14:solidFill>
                </w14:textFill>
              </w:rPr>
              <w:t>一般固废临时贮存</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要求</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一般固废临时贮存</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要求注意事项如下：</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A、对固体废物实行从产生、收集、运输、贮存直至最终处理实行全过程管理，加强固体废物运输过程的事故风险防范，按照有关法律、法规的要求，对固体废弃物全过程管理应报当地环保行政主管部门等批准；</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lang w:eastAsia="zh-CN"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B、加强固体废物规范化管理，固体废物分类定点堆放，堆放场所远离办公区和周围环境敏感点。为了减少雨水侵蚀造成的二次污染</w:t>
            </w:r>
            <w:r>
              <w:rPr>
                <w:rFonts w:hint="default" w:ascii="Times New Roman" w:hAnsi="Times New Roman" w:cs="Times New Roman"/>
                <w:color w:val="000000" w:themeColor="text1"/>
                <w:kern w:val="0"/>
                <w:sz w:val="24"/>
                <w:lang w:eastAsia="zh-CN" w:bidi="ar"/>
                <w14:textFill>
                  <w14:solidFill>
                    <w14:schemeClr w14:val="tx1"/>
                  </w14:solidFill>
                </w14:textFill>
              </w:rPr>
              <w:t>。</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u w:val="single"/>
                <w:lang w:eastAsia="zh-CN" w:bidi="ar"/>
                <w14:textFill>
                  <w14:solidFill>
                    <w14:schemeClr w14:val="tx1"/>
                  </w14:solidFill>
                </w14:textFill>
              </w:rPr>
              <w:t>（</w:t>
            </w:r>
            <w:r>
              <w:rPr>
                <w:rFonts w:hint="default" w:ascii="Times New Roman" w:hAnsi="Times New Roman" w:eastAsia="宋体" w:cs="Times New Roman"/>
                <w:color w:val="000000" w:themeColor="text1"/>
                <w:kern w:val="0"/>
                <w:sz w:val="24"/>
                <w:u w:val="single"/>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u w:val="single"/>
                <w:lang w:eastAsia="zh-CN" w:bidi="ar"/>
                <w14:textFill>
                  <w14:solidFill>
                    <w14:schemeClr w14:val="tx1"/>
                  </w14:solidFill>
                </w14:textFill>
              </w:rPr>
              <w:t>）</w:t>
            </w:r>
            <w:r>
              <w:rPr>
                <w:rFonts w:hint="default" w:ascii="Times New Roman" w:hAnsi="Times New Roman" w:eastAsia="宋体" w:cs="Times New Roman"/>
                <w:color w:val="000000" w:themeColor="text1"/>
                <w:kern w:val="0"/>
                <w:sz w:val="24"/>
                <w:u w:val="single"/>
                <w:lang w:val="en-US" w:eastAsia="zh-CN" w:bidi="ar"/>
                <w14:textFill>
                  <w14:solidFill>
                    <w14:schemeClr w14:val="tx1"/>
                  </w14:solidFill>
                </w14:textFill>
              </w:rPr>
              <w:t>危险废物收集、贮存、处置要求</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u w:val="single"/>
                <w:lang w:bidi="ar"/>
                <w14:textFill>
                  <w14:solidFill>
                    <w14:schemeClr w14:val="tx1"/>
                  </w14:solidFill>
                </w14:textFill>
              </w:rPr>
            </w:pPr>
            <w:r>
              <w:rPr>
                <w:rFonts w:hint="default" w:ascii="Times New Roman" w:hAnsi="Times New Roman" w:eastAsia="宋体" w:cs="Times New Roman"/>
                <w:color w:val="000000" w:themeColor="text1"/>
                <w:kern w:val="0"/>
                <w:sz w:val="24"/>
                <w:u w:val="single"/>
                <w:lang w:bidi="ar"/>
                <w14:textFill>
                  <w14:solidFill>
                    <w14:schemeClr w14:val="tx1"/>
                  </w14:solidFill>
                </w14:textFill>
              </w:rPr>
              <w:t>项目运营期间产生的危险废物主要为废变压器油以及</w:t>
            </w:r>
            <w:r>
              <w:rPr>
                <w:rFonts w:hint="default" w:ascii="Times New Roman" w:hAnsi="Times New Roman" w:eastAsia="宋体" w:cs="Times New Roman"/>
                <w:color w:val="000000" w:themeColor="text1"/>
                <w:kern w:val="0"/>
                <w:sz w:val="24"/>
                <w:u w:val="single"/>
                <w:lang w:val="en-US" w:eastAsia="zh-CN" w:bidi="ar"/>
                <w14:textFill>
                  <w14:solidFill>
                    <w14:schemeClr w14:val="tx1"/>
                  </w14:solidFill>
                </w14:textFill>
              </w:rPr>
              <w:t>废铅酸蓄电池</w:t>
            </w:r>
            <w:r>
              <w:rPr>
                <w:rFonts w:hint="default" w:ascii="Times New Roman" w:hAnsi="Times New Roman" w:eastAsia="宋体" w:cs="Times New Roman"/>
                <w:color w:val="000000" w:themeColor="text1"/>
                <w:kern w:val="0"/>
                <w:sz w:val="24"/>
                <w:u w:val="single"/>
                <w:lang w:bidi="ar"/>
                <w14:textFill>
                  <w14:solidFill>
                    <w14:schemeClr w14:val="tx1"/>
                  </w14:solidFill>
                </w14:textFill>
              </w:rPr>
              <w:t>，危险废物的运输和贮存注意事项如下：</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u w:val="single"/>
                <w:lang w:bidi="ar"/>
                <w14:textFill>
                  <w14:solidFill>
                    <w14:schemeClr w14:val="tx1"/>
                  </w14:solidFill>
                </w14:textFill>
              </w:rPr>
            </w:pPr>
            <w:r>
              <w:rPr>
                <w:rFonts w:hint="default" w:ascii="Times New Roman" w:hAnsi="Times New Roman" w:eastAsia="宋体" w:cs="Times New Roman"/>
                <w:color w:val="000000" w:themeColor="text1"/>
                <w:kern w:val="0"/>
                <w:sz w:val="24"/>
                <w:u w:val="single"/>
                <w:lang w:bidi="ar"/>
                <w14:textFill>
                  <w14:solidFill>
                    <w14:schemeClr w14:val="tx1"/>
                  </w14:solidFill>
                </w14:textFill>
              </w:rPr>
              <w:t>A、贮存</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u w:val="single"/>
                <w:lang w:bidi="ar"/>
                <w14:textFill>
                  <w14:solidFill>
                    <w14:schemeClr w14:val="tx1"/>
                  </w14:solidFill>
                </w14:textFill>
              </w:rPr>
            </w:pPr>
            <w:r>
              <w:rPr>
                <w:rFonts w:hint="default" w:ascii="Times New Roman" w:hAnsi="Times New Roman" w:eastAsia="宋体" w:cs="Times New Roman"/>
                <w:color w:val="000000" w:themeColor="text1"/>
                <w:kern w:val="0"/>
                <w:sz w:val="24"/>
                <w:u w:val="single"/>
                <w:lang w:bidi="ar"/>
                <w14:textFill>
                  <w14:solidFill>
                    <w14:schemeClr w14:val="tx1"/>
                  </w14:solidFill>
                </w14:textFill>
              </w:rPr>
              <w:t>项目生产过程中将产生一定量的危险废物，应严格按照《危险废物贮存污染控制标准》（GB18597-</w:t>
            </w:r>
            <w:r>
              <w:rPr>
                <w:rFonts w:hint="default" w:ascii="Times New Roman" w:hAnsi="Times New Roman" w:cs="Times New Roman"/>
                <w:color w:val="000000" w:themeColor="text1"/>
                <w:kern w:val="0"/>
                <w:sz w:val="24"/>
                <w:u w:val="single"/>
                <w:lang w:val="en-US" w:eastAsia="zh-CN" w:bidi="ar"/>
                <w14:textFill>
                  <w14:solidFill>
                    <w14:schemeClr w14:val="tx1"/>
                  </w14:solidFill>
                </w14:textFill>
              </w:rPr>
              <w:t>2023</w:t>
            </w:r>
            <w:r>
              <w:rPr>
                <w:rFonts w:hint="default" w:ascii="Times New Roman" w:hAnsi="Times New Roman" w:eastAsia="宋体" w:cs="Times New Roman"/>
                <w:color w:val="000000" w:themeColor="text1"/>
                <w:kern w:val="0"/>
                <w:sz w:val="24"/>
                <w:u w:val="single"/>
                <w:lang w:bidi="ar"/>
                <w14:textFill>
                  <w14:solidFill>
                    <w14:schemeClr w14:val="tx1"/>
                  </w14:solidFill>
                </w14:textFill>
              </w:rPr>
              <w:t>）相关要求进行分类收集后置于专用桶中，暂存放在</w:t>
            </w:r>
            <w:r>
              <w:rPr>
                <w:rFonts w:hint="default" w:ascii="Times New Roman" w:hAnsi="Times New Roman" w:eastAsia="宋体" w:cs="Times New Roman"/>
                <w:color w:val="000000" w:themeColor="text1"/>
                <w:kern w:val="0"/>
                <w:sz w:val="24"/>
                <w:u w:val="single"/>
                <w:lang w:val="en-US" w:eastAsia="zh-CN" w:bidi="ar"/>
                <w14:textFill>
                  <w14:solidFill>
                    <w14:schemeClr w14:val="tx1"/>
                  </w14:solidFill>
                </w14:textFill>
              </w:rPr>
              <w:t>升压站</w:t>
            </w:r>
            <w:r>
              <w:rPr>
                <w:rFonts w:hint="default" w:ascii="Times New Roman" w:hAnsi="Times New Roman" w:eastAsia="宋体" w:cs="Times New Roman"/>
                <w:color w:val="000000" w:themeColor="text1"/>
                <w:kern w:val="0"/>
                <w:sz w:val="24"/>
                <w:u w:val="single"/>
                <w:lang w:bidi="ar"/>
                <w14:textFill>
                  <w14:solidFill>
                    <w14:schemeClr w14:val="tx1"/>
                  </w14:solidFill>
                </w14:textFill>
              </w:rPr>
              <w:t>的危险废物暂存间内。同时该危险废物贮存间</w:t>
            </w:r>
            <w:r>
              <w:rPr>
                <w:rFonts w:hint="default" w:ascii="Times New Roman" w:hAnsi="Times New Roman" w:cs="Times New Roman"/>
                <w:color w:val="000000" w:themeColor="text1"/>
                <w:kern w:val="0"/>
                <w:sz w:val="24"/>
                <w:u w:val="single"/>
                <w:lang w:eastAsia="zh-CN" w:bidi="ar"/>
                <w14:textFill>
                  <w14:solidFill>
                    <w14:schemeClr w14:val="tx1"/>
                  </w14:solidFill>
                </w14:textFill>
              </w:rPr>
              <w:t>应</w:t>
            </w:r>
            <w:r>
              <w:rPr>
                <w:rFonts w:hint="default" w:ascii="Times New Roman" w:hAnsi="Times New Roman" w:eastAsia="宋体" w:cs="Times New Roman"/>
                <w:color w:val="000000" w:themeColor="text1"/>
                <w:kern w:val="0"/>
                <w:sz w:val="24"/>
                <w:u w:val="single"/>
                <w:lang w:bidi="ar"/>
                <w14:textFill>
                  <w14:solidFill>
                    <w14:schemeClr w14:val="tx1"/>
                  </w14:solidFill>
                </w14:textFill>
              </w:rPr>
              <w:t>严格按照《危险废物贮存污染控制标准》（GB</w:t>
            </w:r>
            <w:r>
              <w:rPr>
                <w:rFonts w:hint="default" w:ascii="Times New Roman" w:hAnsi="Times New Roman" w:cs="Times New Roman"/>
                <w:color w:val="000000" w:themeColor="text1"/>
                <w:kern w:val="0"/>
                <w:sz w:val="24"/>
                <w:u w:val="single"/>
                <w:lang w:val="en-US" w:eastAsia="zh-CN" w:bidi="ar"/>
                <w14:textFill>
                  <w14:solidFill>
                    <w14:schemeClr w14:val="tx1"/>
                  </w14:solidFill>
                </w14:textFill>
              </w:rPr>
              <w:t>18</w:t>
            </w:r>
            <w:r>
              <w:rPr>
                <w:rFonts w:hint="default" w:ascii="Times New Roman" w:hAnsi="Times New Roman" w:eastAsia="宋体" w:cs="Times New Roman"/>
                <w:color w:val="000000" w:themeColor="text1"/>
                <w:kern w:val="0"/>
                <w:sz w:val="24"/>
                <w:u w:val="single"/>
                <w:lang w:bidi="ar"/>
                <w14:textFill>
                  <w14:solidFill>
                    <w14:schemeClr w14:val="tx1"/>
                  </w14:solidFill>
                </w14:textFill>
              </w:rPr>
              <w:t>597-20</w:t>
            </w:r>
            <w:r>
              <w:rPr>
                <w:rFonts w:hint="default" w:ascii="Times New Roman" w:hAnsi="Times New Roman" w:cs="Times New Roman"/>
                <w:color w:val="000000" w:themeColor="text1"/>
                <w:kern w:val="0"/>
                <w:sz w:val="24"/>
                <w:u w:val="single"/>
                <w:lang w:val="en-US" w:eastAsia="zh-CN" w:bidi="ar"/>
                <w14:textFill>
                  <w14:solidFill>
                    <w14:schemeClr w14:val="tx1"/>
                  </w14:solidFill>
                </w14:textFill>
              </w:rPr>
              <w:t>23</w:t>
            </w:r>
            <w:r>
              <w:rPr>
                <w:rFonts w:hint="default" w:ascii="Times New Roman" w:hAnsi="Times New Roman" w:eastAsia="宋体" w:cs="Times New Roman"/>
                <w:color w:val="000000" w:themeColor="text1"/>
                <w:kern w:val="0"/>
                <w:sz w:val="24"/>
                <w:u w:val="single"/>
                <w:lang w:bidi="ar"/>
                <w14:textFill>
                  <w14:solidFill>
                    <w14:schemeClr w14:val="tx1"/>
                  </w14:solidFill>
                </w14:textFill>
              </w:rPr>
              <w:t>）要求进行。</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u w:val="single"/>
                <w:lang w:bidi="ar"/>
                <w14:textFill>
                  <w14:solidFill>
                    <w14:schemeClr w14:val="tx1"/>
                  </w14:solidFill>
                </w14:textFill>
              </w:rPr>
            </w:pPr>
            <w:r>
              <w:rPr>
                <w:rFonts w:hint="default" w:ascii="Times New Roman" w:hAnsi="Times New Roman" w:eastAsia="宋体" w:cs="Times New Roman"/>
                <w:color w:val="000000" w:themeColor="text1"/>
                <w:kern w:val="0"/>
                <w:sz w:val="24"/>
                <w:u w:val="single"/>
                <w:lang w:bidi="ar"/>
                <w14:textFill>
                  <w14:solidFill>
                    <w14:schemeClr w14:val="tx1"/>
                  </w14:solidFill>
                </w14:textFill>
              </w:rPr>
              <w:t>环评针对危险废物的储存提出项目设置的危险废物临时堆放间需满足以下要求：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u w:val="single"/>
                <w:lang w:bidi="ar"/>
                <w14:textFill>
                  <w14:solidFill>
                    <w14:schemeClr w14:val="tx1"/>
                  </w14:solidFill>
                </w14:textFill>
              </w:rPr>
            </w:pPr>
            <w:r>
              <w:rPr>
                <w:rFonts w:hint="default" w:ascii="Times New Roman" w:hAnsi="Times New Roman" w:eastAsia="宋体" w:cs="Times New Roman"/>
                <w:color w:val="000000" w:themeColor="text1"/>
                <w:kern w:val="0"/>
                <w:sz w:val="24"/>
                <w:u w:val="single"/>
                <w:lang w:bidi="ar"/>
                <w14:textFill>
                  <w14:solidFill>
                    <w14:schemeClr w14:val="tx1"/>
                  </w14:solidFill>
                </w14:textFill>
              </w:rPr>
              <w:t>①</w:t>
            </w:r>
            <w:r>
              <w:rPr>
                <w:rFonts w:hint="default" w:ascii="Times New Roman" w:hAnsi="Times New Roman" w:eastAsia="宋体" w:cs="Times New Roman"/>
                <w:color w:val="000000" w:themeColor="text1"/>
                <w:sz w:val="24"/>
                <w:szCs w:val="24"/>
                <w:u w:val="single"/>
                <w14:textFill>
                  <w14:solidFill>
                    <w14:schemeClr w14:val="tx1"/>
                  </w14:solidFill>
                </w14:textFill>
              </w:rPr>
              <w:t>贮存设施应根据危险废物的形态、物理化学性质、包装形式和污染物迁移途径，采取必要的防风、防晒、防雨、防漏、防渗、防腐以及其他环境污染防治措施，不应露天堆放危险废物。</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u w:val="single"/>
                <w:lang w:bidi="ar"/>
                <w14:textFill>
                  <w14:solidFill>
                    <w14:schemeClr w14:val="tx1"/>
                  </w14:solidFill>
                </w14:textFill>
              </w:rPr>
            </w:pPr>
            <w:r>
              <w:rPr>
                <w:rFonts w:hint="default" w:ascii="Times New Roman" w:hAnsi="Times New Roman" w:eastAsia="宋体" w:cs="Times New Roman"/>
                <w:color w:val="000000" w:themeColor="text1"/>
                <w:kern w:val="0"/>
                <w:sz w:val="24"/>
                <w:u w:val="single"/>
                <w:lang w:bidi="ar"/>
                <w14:textFill>
                  <w14:solidFill>
                    <w14:schemeClr w14:val="tx1"/>
                  </w14:solidFill>
                </w14:textFill>
              </w:rPr>
              <w:t>②贮存设施应根据危险废物的类别、数量、形态、物理化学性质和污染防治等要求设置必要的贮</w:t>
            </w:r>
            <w:r>
              <w:rPr>
                <w:rFonts w:hint="default" w:ascii="Times New Roman" w:hAnsi="Times New Roman" w:eastAsia="宋体" w:cs="Times New Roman"/>
                <w:color w:val="000000" w:themeColor="text1"/>
                <w:sz w:val="24"/>
                <w:szCs w:val="24"/>
                <w:u w:val="single"/>
                <w14:textFill>
                  <w14:solidFill>
                    <w14:schemeClr w14:val="tx1"/>
                  </w14:solidFill>
                </w14:textFill>
              </w:rPr>
              <w:t>存分区，避免不相容的危险废物接触、混合。</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u w:val="single"/>
                <w:lang w:bidi="ar"/>
                <w14:textFill>
                  <w14:solidFill>
                    <w14:schemeClr w14:val="tx1"/>
                  </w14:solidFill>
                </w14:textFill>
              </w:rPr>
            </w:pPr>
            <w:r>
              <w:rPr>
                <w:rFonts w:hint="default" w:ascii="Times New Roman" w:hAnsi="Times New Roman" w:eastAsia="宋体" w:cs="Times New Roman"/>
                <w:color w:val="000000" w:themeColor="text1"/>
                <w:kern w:val="0"/>
                <w:sz w:val="24"/>
                <w:u w:val="single"/>
                <w:lang w:bidi="ar"/>
                <w14:textFill>
                  <w14:solidFill>
                    <w14:schemeClr w14:val="tx1"/>
                  </w14:solidFill>
                </w14:textFill>
              </w:rPr>
              <w:t>③</w:t>
            </w:r>
            <w:r>
              <w:rPr>
                <w:rFonts w:hint="default" w:ascii="Times New Roman" w:hAnsi="Times New Roman" w:eastAsia="宋体" w:cs="Times New Roman"/>
                <w:color w:val="000000" w:themeColor="text1"/>
                <w:sz w:val="24"/>
                <w:szCs w:val="24"/>
                <w:u w:val="single"/>
                <w14:textFill>
                  <w14:solidFill>
                    <w14:schemeClr w14:val="tx1"/>
                  </w14:solidFill>
                </w14:textFill>
              </w:rPr>
              <w:t>贮存设施或贮存分区内地面、墙面裙脚、堵截泄漏的围堰、接触危险废物的隔板和墙体等应采用坚固的材料建造，表面无裂缝。</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kern w:val="0"/>
                <w:sz w:val="24"/>
                <w:u w:val="single"/>
                <w:lang w:bidi="ar"/>
                <w14:textFill>
                  <w14:solidFill>
                    <w14:schemeClr w14:val="tx1"/>
                  </w14:solidFill>
                </w14:textFill>
              </w:rPr>
            </w:pPr>
            <w:r>
              <w:rPr>
                <w:rFonts w:hint="default" w:ascii="Times New Roman" w:hAnsi="Times New Roman" w:eastAsia="宋体" w:cs="Times New Roman"/>
                <w:color w:val="000000" w:themeColor="text1"/>
                <w:kern w:val="0"/>
                <w:sz w:val="24"/>
                <w:u w:val="single"/>
                <w:lang w:bidi="ar"/>
                <w14:textFill>
                  <w14:solidFill>
                    <w14:schemeClr w14:val="tx1"/>
                  </w14:solidFill>
                </w14:textFill>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 1 m 厚黏土层（渗透系数不大于 10</w:t>
            </w:r>
            <w:r>
              <w:rPr>
                <w:rFonts w:hint="default" w:ascii="Times New Roman" w:hAnsi="Times New Roman" w:eastAsia="宋体" w:cs="Times New Roman"/>
                <w:color w:val="000000" w:themeColor="text1"/>
                <w:kern w:val="0"/>
                <w:sz w:val="24"/>
                <w:u w:val="single"/>
                <w:vertAlign w:val="superscript"/>
                <w:lang w:bidi="ar"/>
                <w14:textFill>
                  <w14:solidFill>
                    <w14:schemeClr w14:val="tx1"/>
                  </w14:solidFill>
                </w14:textFill>
              </w:rPr>
              <w:t>-7</w:t>
            </w:r>
            <w:r>
              <w:rPr>
                <w:rFonts w:hint="default" w:ascii="Times New Roman" w:hAnsi="Times New Roman" w:eastAsia="宋体" w:cs="Times New Roman"/>
                <w:color w:val="000000" w:themeColor="text1"/>
                <w:kern w:val="0"/>
                <w:sz w:val="24"/>
                <w:u w:val="single"/>
                <w:lang w:bidi="ar"/>
                <w14:textFill>
                  <w14:solidFill>
                    <w14:schemeClr w14:val="tx1"/>
                  </w14:solidFill>
                </w14:textFill>
              </w:rPr>
              <w:t xml:space="preserve"> cm/s），或至少2 mm 厚高密度聚乙烯膜等人工防渗材料（渗透系数不大于 10</w:t>
            </w:r>
            <w:r>
              <w:rPr>
                <w:rFonts w:hint="default" w:ascii="Times New Roman" w:hAnsi="Times New Roman" w:eastAsia="宋体" w:cs="Times New Roman"/>
                <w:color w:val="000000" w:themeColor="text1"/>
                <w:kern w:val="0"/>
                <w:sz w:val="24"/>
                <w:u w:val="single"/>
                <w:vertAlign w:val="superscript"/>
                <w:lang w:bidi="ar"/>
                <w14:textFill>
                  <w14:solidFill>
                    <w14:schemeClr w14:val="tx1"/>
                  </w14:solidFill>
                </w14:textFill>
              </w:rPr>
              <w:t>-10</w:t>
            </w:r>
            <w:r>
              <w:rPr>
                <w:rFonts w:hint="default" w:ascii="Times New Roman" w:hAnsi="Times New Roman" w:eastAsia="宋体" w:cs="Times New Roman"/>
                <w:color w:val="000000" w:themeColor="text1"/>
                <w:kern w:val="0"/>
                <w:sz w:val="24"/>
                <w:u w:val="single"/>
                <w:lang w:bidi="ar"/>
                <w14:textFill>
                  <w14:solidFill>
                    <w14:schemeClr w14:val="tx1"/>
                  </w14:solidFill>
                </w14:textFill>
              </w:rPr>
              <w:t xml:space="preserve"> cm/s），或其他防渗性能等效的材料。</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u w:val="single"/>
                <w:lang w:bidi="ar"/>
                <w14:textFill>
                  <w14:solidFill>
                    <w14:schemeClr w14:val="tx1"/>
                  </w14:solidFill>
                </w14:textFill>
              </w:rPr>
            </w:pPr>
            <w:r>
              <w:rPr>
                <w:rFonts w:hint="default" w:ascii="Times New Roman" w:hAnsi="Times New Roman" w:eastAsia="宋体" w:cs="Times New Roman"/>
                <w:color w:val="000000" w:themeColor="text1"/>
                <w:kern w:val="0"/>
                <w:sz w:val="24"/>
                <w:u w:val="single"/>
                <w:lang w:bidi="ar"/>
                <w14:textFill>
                  <w14:solidFill>
                    <w14:schemeClr w14:val="tx1"/>
                  </w14:solidFill>
                </w14:textFill>
              </w:rPr>
              <w:t>⑤贮存设施应采取技术和管理措施防止无关人员进入。</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u w:val="single"/>
                <w:lang w:eastAsia="zh-CN" w:bidi="ar"/>
                <w14:textFill>
                  <w14:solidFill>
                    <w14:schemeClr w14:val="tx1"/>
                  </w14:solidFill>
                </w14:textFill>
              </w:rPr>
            </w:pPr>
            <w:r>
              <w:rPr>
                <w:rFonts w:hint="default" w:ascii="Times New Roman" w:hAnsi="Times New Roman" w:eastAsia="宋体" w:cs="Times New Roman"/>
                <w:color w:val="000000" w:themeColor="text1"/>
                <w:kern w:val="0"/>
                <w:sz w:val="24"/>
                <w:u w:val="single"/>
                <w:lang w:bidi="ar"/>
                <w14:textFill>
                  <w14:solidFill>
                    <w14:schemeClr w14:val="tx1"/>
                  </w14:solidFill>
                </w14:textFill>
              </w:rPr>
              <w:t>⑥</w:t>
            </w:r>
            <w:r>
              <w:rPr>
                <w:rFonts w:hint="default" w:ascii="Times New Roman" w:hAnsi="Times New Roman" w:eastAsia="宋体" w:cs="Times New Roman"/>
                <w:color w:val="000000" w:themeColor="text1"/>
                <w:sz w:val="24"/>
                <w:szCs w:val="24"/>
                <w:u w:val="single"/>
                <w14:textFill>
                  <w14:solidFill>
                    <w14:schemeClr w14:val="tx1"/>
                  </w14:solidFill>
                </w14:textFill>
              </w:rPr>
              <w:t>容器和包装物材质、内衬应与盛装的危险废物相容</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u w:val="single"/>
                <w:lang w:bidi="ar"/>
                <w14:textFill>
                  <w14:solidFill>
                    <w14:schemeClr w14:val="tx1"/>
                  </w14:solidFill>
                </w14:textFill>
              </w:rPr>
            </w:pPr>
            <w:r>
              <w:rPr>
                <w:rFonts w:hint="default" w:ascii="Times New Roman" w:hAnsi="Times New Roman" w:eastAsia="宋体" w:cs="Times New Roman"/>
                <w:color w:val="000000" w:themeColor="text1"/>
                <w:kern w:val="0"/>
                <w:sz w:val="24"/>
                <w:u w:val="single"/>
                <w:lang w:bidi="ar"/>
                <w14:textFill>
                  <w14:solidFill>
                    <w14:schemeClr w14:val="tx1"/>
                  </w14:solidFill>
                </w14:textFill>
              </w:rPr>
              <w:t>⑦针对不同类别、形态、物理化学性质的危险废物，其容器和包装物应满足相应的防渗、防漏、防腐和强度等要求。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u w:val="single"/>
                <w:lang w:bidi="ar"/>
                <w14:textFill>
                  <w14:solidFill>
                    <w14:schemeClr w14:val="tx1"/>
                  </w14:solidFill>
                </w14:textFill>
              </w:rPr>
            </w:pPr>
            <w:r>
              <w:rPr>
                <w:rFonts w:hint="default" w:ascii="Times New Roman" w:hAnsi="Times New Roman" w:eastAsia="宋体" w:cs="Times New Roman"/>
                <w:color w:val="000000" w:themeColor="text1"/>
                <w:kern w:val="0"/>
                <w:sz w:val="24"/>
                <w:u w:val="single"/>
                <w:lang w:bidi="ar"/>
                <w14:textFill>
                  <w14:solidFill>
                    <w14:schemeClr w14:val="tx1"/>
                  </w14:solidFill>
                </w14:textFill>
              </w:rPr>
              <w:t>⑧使用容器盛装液态、半固态危险废物时，容器内部应留有适当的空间，以适应因温度变化等可能引发的收缩和膨胀，防止其导致容器渗漏或永久变形。不相容的危险废物不能堆放在一起。</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B、运输</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项目产生的危险废物，拟交由有资质单位回收处理，由处理单位派专用车辆定期上门接收，运输至资质单位废物处理场进行处理。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C、处置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项目产生的危险废物交由有资质单位根据各危险废物的性质进行无害化处置。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项目生产过程产生的固体废物均得到了妥善有效的处理，采取的固废污染防治措施可行。</w:t>
            </w:r>
          </w:p>
          <w:p>
            <w:pPr>
              <w:keepNext w:val="0"/>
              <w:keepLines w:val="0"/>
              <w:widowControl/>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6、电磁环境保护措施</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t>①升压站内电气设备应采取集中布置方式，在设计中应按有关规程采取系列的控制过电压、电磁感应场强水平的措施，如保证导体和电气设备之间的电气安全距离，选用具有低辐射、抗干扰能力的设备，设置防雷接地保护装置，选用带屏蔽层的电缆、屏蔽层接地等，将可以有效地降低电磁环境影响。</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t>②合理选用各种电气设备及金属配件（如保护环、垫片、接头等），以减少高电位梯度点引起的放电；使用合理、优良的绝缘子来减少绝缘子的表面放电，尽量使用能改善绝缘子表面或沿绝缘子串电压分布的保护装置。</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t>③对大功率的电磁振荡设备采取必要的屏蔽，密封机箱的孔、口、门缝的连接处；控制箱、断路器端子箱、设备的放油阀门及分接开关尽量布置在较低场强区，以便于运行和检修人员接近。</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bidi="ar"/>
                <w14:textFill>
                  <w14:solidFill>
                    <w14:schemeClr w14:val="tx1"/>
                  </w14:solidFill>
                </w14:textFill>
              </w:rPr>
              <w:t>④在危险区域设立相应的警示标志，并做好警示宣传工作，醒目位置设置安全警示图文标志。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40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其他</w:t>
            </w:r>
          </w:p>
        </w:tc>
        <w:tc>
          <w:tcPr>
            <w:tcW w:w="4591" w:type="pct"/>
            <w:noWrap w:val="0"/>
            <w:vAlign w:val="top"/>
          </w:tcPr>
          <w:p>
            <w:pPr>
              <w:pStyle w:val="4"/>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color w:val="000000" w:themeColor="text1"/>
                <w:sz w:val="24"/>
                <w:szCs w:val="24"/>
                <w:highlight w:val="none"/>
                <w:lang w:val="en-US"/>
                <w14:textFill>
                  <w14:solidFill>
                    <w14:schemeClr w14:val="tx1"/>
                  </w14:solidFill>
                </w14:textFill>
              </w:rPr>
            </w:pPr>
            <w:bookmarkStart w:id="19" w:name="_Toc11531"/>
            <w:bookmarkStart w:id="20" w:name="_Toc13928"/>
            <w:bookmarkStart w:id="21" w:name="_Toc647"/>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环境监测计划</w:t>
            </w:r>
            <w:bookmarkEnd w:id="19"/>
            <w:bookmarkEnd w:id="20"/>
            <w:bookmarkEnd w:id="21"/>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bookmarkStart w:id="22" w:name="_Toc101857069"/>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（1）制定目的</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对本项目运营期实行环境监测，可以全面、及时地掌握工程污染状态，了解区域环境质量变化，从未有利于监督各项环保措施的落实，并根据监测结果适时调整环境保护计划。</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（2）环境监测机构</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本项目环境监测可以委托有资质的监测单位承担，应定期定点监测，编制监测报告，提供给业主单位，以备生态环境局监督，若在监测中发现问题应及时报告，以便及时有效的采取措施。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（3）监测项目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项目主要是噪声、工频电场强度、工频磁场强度。</w:t>
            </w:r>
          </w:p>
          <w:bookmarkEnd w:id="22"/>
          <w:p>
            <w:pPr>
              <w:keepNext w:val="0"/>
              <w:keepLines w:val="0"/>
              <w:suppressLineNumbers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（4）监测计划</w:t>
            </w:r>
          </w:p>
          <w:p>
            <w:pPr>
              <w:keepNext w:val="0"/>
              <w:keepLines w:val="0"/>
              <w:suppressLineNumbers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本项目环境监测计划包括废气、环境空气、电磁环境及噪声，具体见下表。</w:t>
            </w:r>
          </w:p>
          <w:p>
            <w:pPr>
              <w:keepNext/>
              <w:keepLines/>
              <w:widowControl w:val="0"/>
              <w:suppressLineNumbers w:val="0"/>
              <w:wordWrap w:val="0"/>
              <w:topLine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表5-1  环境监测计划一览表</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66"/>
              <w:gridCol w:w="988"/>
              <w:gridCol w:w="1923"/>
              <w:gridCol w:w="1746"/>
              <w:gridCol w:w="19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0" w:hRule="atLeast"/>
                <w:jc w:val="center"/>
              </w:trPr>
              <w:tc>
                <w:tcPr>
                  <w:tcW w:w="270" w:type="pct"/>
                  <w:noWrap w:val="0"/>
                  <w:vAlign w:val="center"/>
                </w:tcPr>
                <w:p>
                  <w:pPr>
                    <w:keepNext w:val="0"/>
                    <w:keepLines w:val="0"/>
                    <w:widowControl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1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10"/>
                      <w:sz w:val="21"/>
                      <w:szCs w:val="21"/>
                      <w:lang w:val="en-US" w:eastAsia="zh-CN" w:bidi="ar-SA"/>
                      <w14:textFill>
                        <w14:solidFill>
                          <w14:schemeClr w14:val="tx1"/>
                        </w14:solidFill>
                      </w14:textFill>
                    </w:rPr>
                    <w:t>时段</w:t>
                  </w:r>
                </w:p>
              </w:tc>
              <w:tc>
                <w:tcPr>
                  <w:tcW w:w="548" w:type="pct"/>
                  <w:noWrap w:val="0"/>
                  <w:vAlign w:val="center"/>
                </w:tcPr>
                <w:p>
                  <w:pPr>
                    <w:keepNext w:val="0"/>
                    <w:keepLines w:val="0"/>
                    <w:widowControl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1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10"/>
                      <w:sz w:val="21"/>
                      <w:szCs w:val="21"/>
                      <w:lang w:val="en-US" w:eastAsia="zh-CN" w:bidi="ar-SA"/>
                      <w14:textFill>
                        <w14:solidFill>
                          <w14:schemeClr w14:val="tx1"/>
                        </w14:solidFill>
                      </w14:textFill>
                    </w:rPr>
                    <w:t>监测</w:t>
                  </w:r>
                </w:p>
                <w:p>
                  <w:pPr>
                    <w:keepNext w:val="0"/>
                    <w:keepLines w:val="0"/>
                    <w:widowControl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1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10"/>
                      <w:sz w:val="21"/>
                      <w:szCs w:val="21"/>
                      <w:lang w:val="en-US" w:eastAsia="zh-CN" w:bidi="ar-SA"/>
                      <w14:textFill>
                        <w14:solidFill>
                          <w14:schemeClr w14:val="tx1"/>
                        </w14:solidFill>
                      </w14:textFill>
                    </w:rPr>
                    <w:t>重点</w:t>
                  </w:r>
                </w:p>
              </w:tc>
              <w:tc>
                <w:tcPr>
                  <w:tcW w:w="625" w:type="pct"/>
                  <w:noWrap w:val="0"/>
                  <w:vAlign w:val="center"/>
                </w:tcPr>
                <w:p>
                  <w:pPr>
                    <w:keepNext w:val="0"/>
                    <w:keepLines w:val="0"/>
                    <w:widowControl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1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10"/>
                      <w:sz w:val="21"/>
                      <w:szCs w:val="21"/>
                      <w:lang w:val="en-US" w:eastAsia="zh-CN" w:bidi="ar-SA"/>
                      <w14:textFill>
                        <w14:solidFill>
                          <w14:schemeClr w14:val="tx1"/>
                        </w14:solidFill>
                      </w14:textFill>
                    </w:rPr>
                    <w:t>监测</w:t>
                  </w:r>
                </w:p>
                <w:p>
                  <w:pPr>
                    <w:keepNext w:val="0"/>
                    <w:keepLines w:val="0"/>
                    <w:widowControl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1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10"/>
                      <w:sz w:val="21"/>
                      <w:szCs w:val="21"/>
                      <w:lang w:val="en-US" w:eastAsia="zh-CN" w:bidi="ar-SA"/>
                      <w14:textFill>
                        <w14:solidFill>
                          <w14:schemeClr w14:val="tx1"/>
                        </w14:solidFill>
                      </w14:textFill>
                    </w:rPr>
                    <w:t>项目</w:t>
                  </w:r>
                </w:p>
              </w:tc>
              <w:tc>
                <w:tcPr>
                  <w:tcW w:w="1217" w:type="pct"/>
                  <w:noWrap w:val="0"/>
                  <w:vAlign w:val="center"/>
                </w:tcPr>
                <w:p>
                  <w:pPr>
                    <w:keepNext w:val="0"/>
                    <w:keepLines w:val="0"/>
                    <w:widowControl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1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10"/>
                      <w:sz w:val="21"/>
                      <w:szCs w:val="21"/>
                      <w:lang w:val="en-US" w:eastAsia="zh-CN" w:bidi="ar-SA"/>
                      <w14:textFill>
                        <w14:solidFill>
                          <w14:schemeClr w14:val="tx1"/>
                        </w14:solidFill>
                      </w14:textFill>
                    </w:rPr>
                    <w:t>监测点位</w:t>
                  </w:r>
                </w:p>
              </w:tc>
              <w:tc>
                <w:tcPr>
                  <w:tcW w:w="1105" w:type="pct"/>
                  <w:noWrap w:val="0"/>
                  <w:vAlign w:val="center"/>
                </w:tcPr>
                <w:p>
                  <w:pPr>
                    <w:keepNext w:val="0"/>
                    <w:keepLines w:val="0"/>
                    <w:widowControl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1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10"/>
                      <w:sz w:val="21"/>
                      <w:szCs w:val="21"/>
                      <w:lang w:val="en-US" w:eastAsia="zh-CN" w:bidi="ar-SA"/>
                      <w14:textFill>
                        <w14:solidFill>
                          <w14:schemeClr w14:val="tx1"/>
                        </w14:solidFill>
                      </w14:textFill>
                    </w:rPr>
                    <w:t>监测频率</w:t>
                  </w:r>
                </w:p>
              </w:tc>
              <w:tc>
                <w:tcPr>
                  <w:tcW w:w="1231" w:type="pct"/>
                  <w:noWrap w:val="0"/>
                  <w:vAlign w:val="center"/>
                </w:tcPr>
                <w:p>
                  <w:pPr>
                    <w:keepNext w:val="0"/>
                    <w:keepLines w:val="0"/>
                    <w:widowControl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1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10"/>
                      <w:sz w:val="21"/>
                      <w:szCs w:val="21"/>
                      <w:lang w:val="en-US" w:eastAsia="zh-CN" w:bidi="ar-SA"/>
                      <w14:textFill>
                        <w14:solidFill>
                          <w14:schemeClr w14:val="tx1"/>
                        </w14:solidFill>
                      </w14:textFill>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70" w:type="pct"/>
                  <w:vMerge w:val="restart"/>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运营期</w:t>
                  </w:r>
                </w:p>
              </w:tc>
              <w:tc>
                <w:tcPr>
                  <w:tcW w:w="548" w:type="pct"/>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电磁</w:t>
                  </w:r>
                </w:p>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环境</w:t>
                  </w:r>
                </w:p>
              </w:tc>
              <w:tc>
                <w:tcPr>
                  <w:tcW w:w="625" w:type="pct"/>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工频电场强度、工频磁场强度</w:t>
                  </w:r>
                </w:p>
              </w:tc>
              <w:tc>
                <w:tcPr>
                  <w:tcW w:w="1217" w:type="pct"/>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升压站站界四周</w:t>
                  </w:r>
                </w:p>
              </w:tc>
              <w:tc>
                <w:tcPr>
                  <w:tcW w:w="1105" w:type="pct"/>
                  <w:noWrap w:val="0"/>
                  <w:vAlign w:val="center"/>
                </w:tcPr>
                <w:p>
                  <w:pPr>
                    <w:keepNext w:val="0"/>
                    <w:keepLines w:val="0"/>
                    <w:suppressLineNumbers w:val="0"/>
                    <w:spacing w:before="0" w:beforeLines="0" w:beforeAutospacing="0" w:after="0" w:afterLines="0" w:afterAutospacing="0"/>
                    <w:ind w:left="0" w:right="0"/>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eastAsia="宋体"/>
                      <w:color w:val="000000" w:themeColor="text1"/>
                      <w:sz w:val="21"/>
                      <w:szCs w:val="24"/>
                      <w14:textFill>
                        <w14:solidFill>
                          <w14:schemeClr w14:val="tx1"/>
                        </w14:solidFill>
                      </w14:textFill>
                    </w:rPr>
                    <w:t>投产时（可采用竣工环境保护验收监测数据）；运行期建议每四年监测</w:t>
                  </w:r>
                  <w:r>
                    <w:rPr>
                      <w:rFonts w:hint="eastAsia" w:ascii="TimesNewRomanPSMT" w:hAnsi="TimesNewRomanPSMT" w:eastAsia="TimesNewRomanPSMT"/>
                      <w:color w:val="000000" w:themeColor="text1"/>
                      <w:sz w:val="21"/>
                      <w:szCs w:val="24"/>
                      <w14:textFill>
                        <w14:solidFill>
                          <w14:schemeClr w14:val="tx1"/>
                        </w14:solidFill>
                      </w14:textFill>
                    </w:rPr>
                    <w:t xml:space="preserve">1 </w:t>
                  </w:r>
                  <w:r>
                    <w:rPr>
                      <w:rFonts w:hint="eastAsia" w:ascii="宋体" w:hAnsi="宋体" w:eastAsia="宋体"/>
                      <w:color w:val="000000" w:themeColor="text1"/>
                      <w:sz w:val="21"/>
                      <w:szCs w:val="24"/>
                      <w14:textFill>
                        <w14:solidFill>
                          <w14:schemeClr w14:val="tx1"/>
                        </w14:solidFill>
                      </w14:textFill>
                    </w:rPr>
                    <w:t>次；有投诉纠纷时监测。</w:t>
                  </w:r>
                </w:p>
              </w:tc>
              <w:tc>
                <w:tcPr>
                  <w:tcW w:w="1231" w:type="pct"/>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《电磁环境控制限值》(GB87022014)中频率为50HZ的电场、磁场公众暴露控制限值，即工频电场强度控制限值：4000V/m，工频磁感应强度控制限值：100μT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270" w:type="pct"/>
                  <w:vMerge w:val="continue"/>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48" w:type="pct"/>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声环境</w:t>
                  </w:r>
                </w:p>
              </w:tc>
              <w:tc>
                <w:tcPr>
                  <w:tcW w:w="625" w:type="pct"/>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Leq（A）</w:t>
                  </w:r>
                </w:p>
              </w:tc>
              <w:tc>
                <w:tcPr>
                  <w:tcW w:w="1217" w:type="pct"/>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升压站站界四周</w:t>
                  </w:r>
                </w:p>
              </w:tc>
              <w:tc>
                <w:tcPr>
                  <w:tcW w:w="1105" w:type="pct"/>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投产时（可采用竣工环境保护验收监测数据）；运行期建议每四年监测1 次；有投诉纠纷时监测。</w:t>
                  </w:r>
                </w:p>
              </w:tc>
              <w:tc>
                <w:tcPr>
                  <w:tcW w:w="1231" w:type="pct"/>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《工业企业厂界环境噪声排放标准》（GB12348-2008）中</w:t>
                  </w:r>
                  <w:r>
                    <w:rPr>
                      <w:rFonts w:hint="eastAsia" w:cs="Times New Roman"/>
                      <w:color w:val="000000" w:themeColor="text1"/>
                      <w:kern w:val="2"/>
                      <w:sz w:val="21"/>
                      <w:szCs w:val="21"/>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类</w:t>
                  </w:r>
                </w:p>
              </w:tc>
            </w:tr>
          </w:tbl>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Cs/>
                <w:color w:val="000000" w:themeColor="text1"/>
                <w:spacing w:val="10"/>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451" w:hRule="atLeast"/>
          <w:jc w:val="center"/>
        </w:trPr>
        <w:tc>
          <w:tcPr>
            <w:tcW w:w="40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环保投资</w:t>
            </w:r>
          </w:p>
        </w:tc>
        <w:tc>
          <w:tcPr>
            <w:tcW w:w="4591" w:type="pct"/>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left"/>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本项目总投资</w:t>
            </w:r>
            <w:r>
              <w:rPr>
                <w:rFonts w:hint="default" w:ascii="Times New Roman" w:hAnsi="Times New Roman" w:cs="Times New Roman"/>
                <w:color w:val="000000" w:themeColor="text1"/>
                <w:sz w:val="24"/>
                <w:szCs w:val="21"/>
                <w:highlight w:val="none"/>
                <w:lang w:val="en-US" w:eastAsia="zh-CN"/>
                <w14:textFill>
                  <w14:solidFill>
                    <w14:schemeClr w14:val="tx1"/>
                  </w14:solidFill>
                </w14:textFill>
              </w:rPr>
              <w:t>1600</w:t>
            </w:r>
            <w:r>
              <w:rPr>
                <w:rFonts w:hint="default" w:ascii="Times New Roman" w:hAnsi="Times New Roman" w:eastAsia="TimesNewRomanPSMT" w:cs="Times New Roman"/>
                <w:color w:val="000000" w:themeColor="text1"/>
                <w:sz w:val="24"/>
                <w:szCs w:val="24"/>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万元，其中环保投资</w:t>
            </w:r>
            <w:r>
              <w:rPr>
                <w:rFonts w:hint="default" w:ascii="Times New Roman" w:hAnsi="Times New Roman" w:cs="Times New Roman"/>
                <w:color w:val="000000" w:themeColor="text1"/>
                <w:sz w:val="24"/>
                <w:szCs w:val="24"/>
                <w:lang w:val="en-US" w:eastAsia="zh-CN"/>
                <w14:textFill>
                  <w14:solidFill>
                    <w14:schemeClr w14:val="tx1"/>
                  </w14:solidFill>
                </w14:textFill>
              </w:rPr>
              <w:t>72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TimesNewRomanPSMT" w:cs="Times New Roman"/>
                <w:color w:val="000000" w:themeColor="text1"/>
                <w:sz w:val="24"/>
                <w:szCs w:val="24"/>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万元，占总投资的</w:t>
            </w:r>
            <w:r>
              <w:rPr>
                <w:rFonts w:hint="default" w:ascii="Times New Roman" w:hAnsi="Times New Roman" w:cs="Times New Roman"/>
                <w:color w:val="000000" w:themeColor="text1"/>
                <w:sz w:val="24"/>
                <w:szCs w:val="24"/>
                <w:lang w:val="en-US" w:eastAsia="zh-CN"/>
                <w14:textFill>
                  <w14:solidFill>
                    <w14:schemeClr w14:val="tx1"/>
                  </w14:solidFill>
                </w14:textFill>
              </w:rPr>
              <w:t>4.5</w:t>
            </w:r>
            <w:r>
              <w:rPr>
                <w:rFonts w:hint="default" w:ascii="Times New Roman" w:hAnsi="Times New Roman" w:eastAsia="TimesNewRomanPSMT"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项目环保投资见表</w:t>
            </w:r>
            <w:r>
              <w:rPr>
                <w:rFonts w:hint="default" w:ascii="Times New Roman" w:hAnsi="Times New Roman" w:eastAsia="TimesNewRomanPSMT" w:cs="Times New Roman"/>
                <w:b w:val="0"/>
                <w:bCs/>
                <w:color w:val="000000" w:themeColor="text1"/>
                <w:sz w:val="24"/>
                <w:szCs w:val="24"/>
                <w14:textFill>
                  <w14:solidFill>
                    <w14:schemeClr w14:val="tx1"/>
                  </w14:solidFill>
                </w14:textFill>
              </w:rPr>
              <w:t>5-</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14:textFill>
                  <w14:solidFill>
                    <w14:schemeClr w14:val="tx1"/>
                  </w14:solidFill>
                </w14:textFill>
              </w:rPr>
              <w:t>。</w:t>
            </w:r>
          </w:p>
          <w:p>
            <w:pPr>
              <w:pStyle w:val="5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baseline"/>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t>表</w:t>
            </w:r>
            <w:r>
              <w:rPr>
                <w:rFonts w:hint="default" w:ascii="Times New Roman" w:hAnsi="Times New Roman" w:cs="Times New Roman"/>
                <w:color w:val="000000" w:themeColor="text1"/>
                <w:szCs w:val="24"/>
                <w:u w:val="single"/>
                <w14:textFill>
                  <w14:solidFill>
                    <w14:schemeClr w14:val="tx1"/>
                  </w14:solidFill>
                </w14:textFill>
              </w:rPr>
              <w:t>5-</w:t>
            </w:r>
            <w:r>
              <w:rPr>
                <w:rFonts w:hint="default" w:ascii="Times New Roman" w:hAnsi="Times New Roman" w:cs="Times New Roman"/>
                <w:color w:val="000000" w:themeColor="text1"/>
                <w:szCs w:val="24"/>
                <w:u w:val="single"/>
                <w:lang w:val="en-US" w:eastAsia="zh-CN"/>
                <w14:textFill>
                  <w14:solidFill>
                    <w14:schemeClr w14:val="tx1"/>
                  </w14:solidFill>
                </w14:textFill>
              </w:rPr>
              <w:t>2</w:t>
            </w:r>
            <w:r>
              <w:rPr>
                <w:rFonts w:hint="default" w:ascii="Times New Roman" w:hAnsi="Times New Roman" w:cs="Times New Roman"/>
                <w:color w:val="000000" w:themeColor="text1"/>
                <w:u w:val="single"/>
                <w14:textFill>
                  <w14:solidFill>
                    <w14:schemeClr w14:val="tx1"/>
                  </w14:solidFill>
                </w14:textFill>
              </w:rPr>
              <w:t xml:space="preserve">  本项目环保措施投资估算</w:t>
            </w:r>
          </w:p>
          <w:tbl>
            <w:tblPr>
              <w:tblStyle w:val="22"/>
              <w:tblW w:w="5000" w:type="pct"/>
              <w:tblInd w:w="-11"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autofit"/>
              <w:tblCellMar>
                <w:top w:w="0" w:type="dxa"/>
                <w:left w:w="0" w:type="dxa"/>
                <w:bottom w:w="0" w:type="dxa"/>
                <w:right w:w="0" w:type="dxa"/>
              </w:tblCellMar>
            </w:tblPr>
            <w:tblGrid>
              <w:gridCol w:w="588"/>
              <w:gridCol w:w="2052"/>
              <w:gridCol w:w="3977"/>
              <w:gridCol w:w="1253"/>
              <w:gridCol w:w="28"/>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gridAfter w:val="1"/>
                <w:wAfter w:w="17" w:type="pct"/>
                <w:trHeight w:val="340" w:hRule="atLeast"/>
              </w:trPr>
              <w:tc>
                <w:tcPr>
                  <w:tcW w:w="372" w:type="pct"/>
                  <w:tcBorders>
                    <w:bottom w:val="single" w:color="auto"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14:textFill>
                        <w14:solidFill>
                          <w14:schemeClr w14:val="tx1"/>
                        </w14:solidFill>
                      </w14:textFill>
                    </w:rPr>
                    <w:t>序号</w:t>
                  </w:r>
                </w:p>
              </w:tc>
              <w:tc>
                <w:tcPr>
                  <w:tcW w:w="1299" w:type="pct"/>
                  <w:tcBorders>
                    <w:left w:val="single" w:color="000000" w:sz="4" w:space="0"/>
                    <w:bottom w:val="single" w:color="auto"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14:textFill>
                        <w14:solidFill>
                          <w14:schemeClr w14:val="tx1"/>
                        </w14:solidFill>
                      </w14:textFill>
                    </w:rPr>
                    <w:t>项目</w:t>
                  </w:r>
                </w:p>
              </w:tc>
              <w:tc>
                <w:tcPr>
                  <w:tcW w:w="2517" w:type="pct"/>
                  <w:tcBorders>
                    <w:left w:val="single" w:color="000000" w:sz="4" w:space="0"/>
                    <w:bottom w:val="single" w:color="auto"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14:textFill>
                        <w14:solidFill>
                          <w14:schemeClr w14:val="tx1"/>
                        </w14:solidFill>
                      </w14:textFill>
                    </w:rPr>
                    <w:t>环保措施</w:t>
                  </w:r>
                </w:p>
              </w:tc>
              <w:tc>
                <w:tcPr>
                  <w:tcW w:w="793" w:type="pct"/>
                  <w:tcBorders>
                    <w:left w:val="single" w:color="000000" w:sz="4" w:space="0"/>
                    <w:bottom w:val="single" w:color="auto"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14:textFill>
                        <w14:solidFill>
                          <w14:schemeClr w14:val="tx1"/>
                        </w14:solidFill>
                      </w14:textFill>
                    </w:rPr>
                    <w:t>环保投资</w:t>
                  </w:r>
                </w:p>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14:textFill>
                        <w14:solidFill>
                          <w14:schemeClr w14:val="tx1"/>
                        </w14:solidFill>
                      </w14:textFill>
                    </w:rPr>
                    <w:t>（万元）</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gridAfter w:val="1"/>
                <w:wAfter w:w="17" w:type="pct"/>
                <w:trHeight w:val="340" w:hRule="atLeast"/>
              </w:trPr>
              <w:tc>
                <w:tcPr>
                  <w:tcW w:w="372" w:type="pct"/>
                  <w:tcBorders>
                    <w:top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1</w:t>
                  </w:r>
                </w:p>
              </w:tc>
              <w:tc>
                <w:tcPr>
                  <w:tcW w:w="1299" w:type="pct"/>
                  <w:tcBorders>
                    <w:top w:val="single" w:color="000000" w:sz="4" w:space="0"/>
                    <w:left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废气防治措施</w:t>
                  </w:r>
                </w:p>
              </w:tc>
              <w:tc>
                <w:tcPr>
                  <w:tcW w:w="2517" w:type="pct"/>
                  <w:tcBorders>
                    <w:top w:val="single" w:color="000000" w:sz="4" w:space="0"/>
                    <w:left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施工围挡、抑尘网、洒水降尘</w:t>
                  </w:r>
                </w:p>
              </w:tc>
              <w:tc>
                <w:tcPr>
                  <w:tcW w:w="793" w:type="pct"/>
                  <w:tcBorders>
                    <w:top w:val="single" w:color="000000" w:sz="4" w:space="0"/>
                    <w:left w:val="single" w:color="000000" w:sz="4" w:space="0"/>
                    <w:bottom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gridAfter w:val="1"/>
                <w:wAfter w:w="17" w:type="pct"/>
                <w:trHeight w:val="340" w:hRule="atLeast"/>
              </w:trPr>
              <w:tc>
                <w:tcPr>
                  <w:tcW w:w="372" w:type="pct"/>
                  <w:vMerge w:val="restart"/>
                  <w:tcBorders>
                    <w:top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2</w:t>
                  </w:r>
                </w:p>
              </w:tc>
              <w:tc>
                <w:tcPr>
                  <w:tcW w:w="1299" w:type="pct"/>
                  <w:vMerge w:val="restart"/>
                  <w:tcBorders>
                    <w:top w:val="single" w:color="000000" w:sz="4" w:space="0"/>
                    <w:left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废水防治措施</w:t>
                  </w:r>
                </w:p>
              </w:tc>
              <w:tc>
                <w:tcPr>
                  <w:tcW w:w="2517" w:type="pct"/>
                  <w:tcBorders>
                    <w:top w:val="single" w:color="000000" w:sz="4" w:space="0"/>
                    <w:left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临时沉淀池</w:t>
                  </w:r>
                </w:p>
              </w:tc>
              <w:tc>
                <w:tcPr>
                  <w:tcW w:w="793" w:type="pct"/>
                  <w:tcBorders>
                    <w:top w:val="single" w:color="000000" w:sz="4" w:space="0"/>
                    <w:left w:val="single" w:color="000000" w:sz="4" w:space="0"/>
                    <w:bottom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gridAfter w:val="1"/>
                <w:wAfter w:w="17" w:type="pct"/>
                <w:trHeight w:val="340" w:hRule="atLeast"/>
              </w:trPr>
              <w:tc>
                <w:tcPr>
                  <w:tcW w:w="372" w:type="pct"/>
                  <w:vMerge w:val="continue"/>
                  <w:tcBorders>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1299" w:type="pct"/>
                  <w:vMerge w:val="continue"/>
                  <w:tcBorders>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2517" w:type="pct"/>
                  <w:tcBorders>
                    <w:top w:val="single" w:color="000000" w:sz="4" w:space="0"/>
                    <w:left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隔油池、</w:t>
                  </w:r>
                  <w:r>
                    <w:rPr>
                      <w:rFonts w:hint="default" w:ascii="Times New Roman" w:hAnsi="Times New Roman" w:eastAsia="宋体" w:cs="Times New Roman"/>
                      <w:color w:val="000000" w:themeColor="text1"/>
                      <w:sz w:val="21"/>
                      <w:szCs w:val="21"/>
                      <w:u w:val="single"/>
                      <w14:textFill>
                        <w14:solidFill>
                          <w14:schemeClr w14:val="tx1"/>
                        </w14:solidFill>
                      </w14:textFill>
                    </w:rPr>
                    <w:t>化粪池</w:t>
                  </w:r>
                </w:p>
              </w:tc>
              <w:tc>
                <w:tcPr>
                  <w:tcW w:w="793" w:type="pct"/>
                  <w:tcBorders>
                    <w:top w:val="single" w:color="000000" w:sz="4" w:space="0"/>
                    <w:left w:val="single" w:color="000000" w:sz="4" w:space="0"/>
                    <w:bottom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gridAfter w:val="1"/>
                <w:wAfter w:w="17" w:type="pct"/>
                <w:trHeight w:val="340" w:hRule="atLeast"/>
              </w:trPr>
              <w:tc>
                <w:tcPr>
                  <w:tcW w:w="372" w:type="pct"/>
                  <w:tcBorders>
                    <w:top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3</w:t>
                  </w:r>
                </w:p>
              </w:tc>
              <w:tc>
                <w:tcPr>
                  <w:tcW w:w="1299" w:type="pct"/>
                  <w:tcBorders>
                    <w:top w:val="single" w:color="000000" w:sz="4" w:space="0"/>
                    <w:left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噪声防治措施</w:t>
                  </w:r>
                </w:p>
              </w:tc>
              <w:tc>
                <w:tcPr>
                  <w:tcW w:w="2517" w:type="pct"/>
                  <w:tcBorders>
                    <w:top w:val="single" w:color="000000" w:sz="4" w:space="0"/>
                    <w:left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减振垫、消声器、临时围挡</w:t>
                  </w:r>
                </w:p>
              </w:tc>
              <w:tc>
                <w:tcPr>
                  <w:tcW w:w="793" w:type="pct"/>
                  <w:tcBorders>
                    <w:top w:val="single" w:color="000000" w:sz="4" w:space="0"/>
                    <w:left w:val="single" w:color="000000" w:sz="4" w:space="0"/>
                    <w:bottom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gridAfter w:val="1"/>
                <w:wAfter w:w="17" w:type="pct"/>
                <w:trHeight w:val="340" w:hRule="atLeast"/>
              </w:trPr>
              <w:tc>
                <w:tcPr>
                  <w:tcW w:w="372" w:type="pct"/>
                  <w:tcBorders>
                    <w:top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4</w:t>
                  </w:r>
                </w:p>
              </w:tc>
              <w:tc>
                <w:tcPr>
                  <w:tcW w:w="1299" w:type="pct"/>
                  <w:tcBorders>
                    <w:top w:val="single" w:color="000000" w:sz="4" w:space="0"/>
                    <w:left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固废防治措施</w:t>
                  </w:r>
                </w:p>
              </w:tc>
              <w:tc>
                <w:tcPr>
                  <w:tcW w:w="2517" w:type="pct"/>
                  <w:tcBorders>
                    <w:top w:val="single" w:color="000000" w:sz="4" w:space="0"/>
                    <w:left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建筑垃圾生活垃圾、清运</w:t>
                  </w:r>
                </w:p>
              </w:tc>
              <w:tc>
                <w:tcPr>
                  <w:tcW w:w="793" w:type="pct"/>
                  <w:tcBorders>
                    <w:top w:val="single" w:color="000000" w:sz="4" w:space="0"/>
                    <w:left w:val="single" w:color="000000" w:sz="4" w:space="0"/>
                    <w:bottom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gridAfter w:val="1"/>
                <w:wAfter w:w="17" w:type="pct"/>
                <w:trHeight w:val="340" w:hRule="atLeast"/>
              </w:trPr>
              <w:tc>
                <w:tcPr>
                  <w:tcW w:w="372" w:type="pct"/>
                  <w:tcBorders>
                    <w:top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5</w:t>
                  </w:r>
                </w:p>
              </w:tc>
              <w:tc>
                <w:tcPr>
                  <w:tcW w:w="1299" w:type="pct"/>
                  <w:tcBorders>
                    <w:top w:val="single" w:color="000000" w:sz="4" w:space="0"/>
                    <w:left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水土保持及生态恢复措施</w:t>
                  </w:r>
                </w:p>
              </w:tc>
              <w:tc>
                <w:tcPr>
                  <w:tcW w:w="2517" w:type="pct"/>
                  <w:tcBorders>
                    <w:top w:val="single" w:color="000000" w:sz="4" w:space="0"/>
                    <w:left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临时表土堆场、截排水沟、场地植被恢复等</w:t>
                  </w:r>
                </w:p>
              </w:tc>
              <w:tc>
                <w:tcPr>
                  <w:tcW w:w="793" w:type="pct"/>
                  <w:tcBorders>
                    <w:top w:val="single" w:color="000000" w:sz="4" w:space="0"/>
                    <w:left w:val="single" w:color="000000" w:sz="4" w:space="0"/>
                    <w:bottom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5000" w:type="pct"/>
                  <w:gridSpan w:val="5"/>
                  <w:tcBorders>
                    <w:top w:val="single" w:color="000000" w:sz="4" w:space="0"/>
                    <w:bottom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14:textFill>
                        <w14:solidFill>
                          <w14:schemeClr w14:val="tx1"/>
                        </w14:solidFill>
                      </w14:textFill>
                    </w:rPr>
                    <w:t>运营期</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gridAfter w:val="1"/>
                <w:wAfter w:w="17" w:type="pct"/>
                <w:trHeight w:val="340" w:hRule="atLeast"/>
              </w:trPr>
              <w:tc>
                <w:tcPr>
                  <w:tcW w:w="372" w:type="pct"/>
                  <w:tcBorders>
                    <w:top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6</w:t>
                  </w:r>
                </w:p>
              </w:tc>
              <w:tc>
                <w:tcPr>
                  <w:tcW w:w="1299" w:type="pct"/>
                  <w:tcBorders>
                    <w:top w:val="single" w:color="000000" w:sz="4" w:space="0"/>
                    <w:left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废气治理措施</w:t>
                  </w:r>
                </w:p>
              </w:tc>
              <w:tc>
                <w:tcPr>
                  <w:tcW w:w="2517" w:type="pct"/>
                  <w:tcBorders>
                    <w:top w:val="single" w:color="000000" w:sz="4" w:space="0"/>
                    <w:left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cs="Times New Roman"/>
                      <w:color w:val="000000" w:themeColor="text1"/>
                      <w:sz w:val="21"/>
                      <w:szCs w:val="21"/>
                      <w:u w:val="single"/>
                      <w:lang w:eastAsia="zh-CN"/>
                      <w14:textFill>
                        <w14:solidFill>
                          <w14:schemeClr w14:val="tx1"/>
                        </w14:solidFill>
                      </w14:textFill>
                    </w:rPr>
                    <w:t>油烟净化设备</w:t>
                  </w:r>
                </w:p>
              </w:tc>
              <w:tc>
                <w:tcPr>
                  <w:tcW w:w="793" w:type="pct"/>
                  <w:tcBorders>
                    <w:top w:val="single" w:color="000000" w:sz="4" w:space="0"/>
                    <w:left w:val="single" w:color="000000" w:sz="4" w:space="0"/>
                    <w:bottom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gridAfter w:val="1"/>
                <w:wAfter w:w="17" w:type="pct"/>
                <w:trHeight w:val="340" w:hRule="atLeast"/>
              </w:trPr>
              <w:tc>
                <w:tcPr>
                  <w:tcW w:w="372" w:type="pct"/>
                  <w:tcBorders>
                    <w:top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7</w:t>
                  </w:r>
                </w:p>
              </w:tc>
              <w:tc>
                <w:tcPr>
                  <w:tcW w:w="1299" w:type="pct"/>
                  <w:tcBorders>
                    <w:top w:val="single" w:color="000000" w:sz="4" w:space="0"/>
                    <w:left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废水防治措施</w:t>
                  </w:r>
                </w:p>
              </w:tc>
              <w:tc>
                <w:tcPr>
                  <w:tcW w:w="2517" w:type="pct"/>
                  <w:tcBorders>
                    <w:top w:val="single" w:color="000000" w:sz="4" w:space="0"/>
                    <w:left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一体化污水处理设施</w:t>
                  </w:r>
                </w:p>
              </w:tc>
              <w:tc>
                <w:tcPr>
                  <w:tcW w:w="793" w:type="pct"/>
                  <w:tcBorders>
                    <w:top w:val="single" w:color="000000" w:sz="4" w:space="0"/>
                    <w:left w:val="single" w:color="000000" w:sz="4" w:space="0"/>
                    <w:bottom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gridAfter w:val="1"/>
                <w:wAfter w:w="17" w:type="pct"/>
                <w:trHeight w:val="340" w:hRule="atLeast"/>
              </w:trPr>
              <w:tc>
                <w:tcPr>
                  <w:tcW w:w="372" w:type="pct"/>
                  <w:tcBorders>
                    <w:top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8</w:t>
                  </w:r>
                </w:p>
              </w:tc>
              <w:tc>
                <w:tcPr>
                  <w:tcW w:w="1299" w:type="pct"/>
                  <w:tcBorders>
                    <w:top w:val="single" w:color="000000" w:sz="4" w:space="0"/>
                    <w:left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噪声防治措施</w:t>
                  </w:r>
                </w:p>
              </w:tc>
              <w:tc>
                <w:tcPr>
                  <w:tcW w:w="2517" w:type="pct"/>
                  <w:tcBorders>
                    <w:top w:val="single" w:color="000000" w:sz="4" w:space="0"/>
                    <w:left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pacing w:val="-4"/>
                      <w:sz w:val="21"/>
                      <w:szCs w:val="21"/>
                      <w:u w:val="single"/>
                      <w14:textFill>
                        <w14:solidFill>
                          <w14:schemeClr w14:val="tx1"/>
                        </w14:solidFill>
                      </w14:textFill>
                    </w:rPr>
                    <w:t>设备基础减振、加装消声器等措施</w:t>
                  </w:r>
                </w:p>
              </w:tc>
              <w:tc>
                <w:tcPr>
                  <w:tcW w:w="793" w:type="pct"/>
                  <w:tcBorders>
                    <w:top w:val="single" w:color="000000" w:sz="4" w:space="0"/>
                    <w:left w:val="single" w:color="000000" w:sz="4" w:space="0"/>
                    <w:bottom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gridAfter w:val="1"/>
                <w:wAfter w:w="17" w:type="pct"/>
                <w:trHeight w:val="340" w:hRule="atLeast"/>
              </w:trPr>
              <w:tc>
                <w:tcPr>
                  <w:tcW w:w="372" w:type="pct"/>
                  <w:tcBorders>
                    <w:top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9</w:t>
                  </w:r>
                </w:p>
              </w:tc>
              <w:tc>
                <w:tcPr>
                  <w:tcW w:w="1299" w:type="pct"/>
                  <w:vMerge w:val="restart"/>
                  <w:tcBorders>
                    <w:top w:val="single" w:color="000000" w:sz="4" w:space="0"/>
                    <w:left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固废防治措施</w:t>
                  </w:r>
                </w:p>
              </w:tc>
              <w:tc>
                <w:tcPr>
                  <w:tcW w:w="2517" w:type="pct"/>
                  <w:tcBorders>
                    <w:top w:val="single" w:color="000000" w:sz="4" w:space="0"/>
                    <w:left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垃圾收集桶</w:t>
                  </w:r>
                </w:p>
              </w:tc>
              <w:tc>
                <w:tcPr>
                  <w:tcW w:w="793" w:type="pct"/>
                  <w:tcBorders>
                    <w:top w:val="single" w:color="000000" w:sz="4" w:space="0"/>
                    <w:left w:val="single" w:color="000000" w:sz="4" w:space="0"/>
                    <w:bottom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0.1</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gridAfter w:val="1"/>
                <w:wAfter w:w="17" w:type="pct"/>
                <w:trHeight w:val="340" w:hRule="atLeast"/>
              </w:trPr>
              <w:tc>
                <w:tcPr>
                  <w:tcW w:w="372" w:type="pct"/>
                  <w:tcBorders>
                    <w:top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10</w:t>
                  </w:r>
                </w:p>
              </w:tc>
              <w:tc>
                <w:tcPr>
                  <w:tcW w:w="1299"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2517" w:type="pct"/>
                  <w:tcBorders>
                    <w:top w:val="single" w:color="000000" w:sz="4" w:space="0"/>
                    <w:left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危险废物暂存间</w:t>
                  </w:r>
                </w:p>
              </w:tc>
              <w:tc>
                <w:tcPr>
                  <w:tcW w:w="793" w:type="pct"/>
                  <w:tcBorders>
                    <w:top w:val="single" w:color="000000" w:sz="4" w:space="0"/>
                    <w:left w:val="single" w:color="000000" w:sz="4" w:space="0"/>
                    <w:bottom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gridAfter w:val="1"/>
                <w:wAfter w:w="17" w:type="pct"/>
                <w:trHeight w:val="340" w:hRule="atLeast"/>
              </w:trPr>
              <w:tc>
                <w:tcPr>
                  <w:tcW w:w="372" w:type="pct"/>
                  <w:tcBorders>
                    <w:top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11</w:t>
                  </w:r>
                </w:p>
              </w:tc>
              <w:tc>
                <w:tcPr>
                  <w:tcW w:w="1299" w:type="pct"/>
                  <w:tcBorders>
                    <w:top w:val="single" w:color="000000" w:sz="4" w:space="0"/>
                    <w:left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环境风险防范措施</w:t>
                  </w:r>
                </w:p>
              </w:tc>
              <w:tc>
                <w:tcPr>
                  <w:tcW w:w="2517" w:type="pct"/>
                  <w:tcBorders>
                    <w:top w:val="single" w:color="000000" w:sz="4" w:space="0"/>
                    <w:left w:val="single" w:color="000000" w:sz="4" w:space="0"/>
                    <w:bottom w:val="single" w:color="000000" w:sz="4" w:space="0"/>
                    <w:right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4"/>
                      <w:sz w:val="21"/>
                      <w:szCs w:val="21"/>
                      <w:u w:val="single"/>
                      <w14:textFill>
                        <w14:solidFill>
                          <w14:schemeClr w14:val="tx1"/>
                        </w14:solidFill>
                      </w14:textFill>
                    </w:rPr>
                  </w:pPr>
                  <w:r>
                    <w:rPr>
                      <w:rFonts w:hint="default" w:ascii="Times New Roman" w:hAnsi="Times New Roman" w:eastAsia="宋体" w:cs="Times New Roman"/>
                      <w:color w:val="000000" w:themeColor="text1"/>
                      <w:spacing w:val="-4"/>
                      <w:sz w:val="21"/>
                      <w:szCs w:val="21"/>
                      <w:u w:val="single"/>
                      <w14:textFill>
                        <w14:solidFill>
                          <w14:schemeClr w14:val="tx1"/>
                        </w14:solidFill>
                      </w14:textFill>
                    </w:rPr>
                    <w:t>事故油池 1 个，容积 50m</w:t>
                  </w:r>
                  <w:r>
                    <w:rPr>
                      <w:rFonts w:hint="default" w:ascii="Times New Roman" w:hAnsi="Times New Roman" w:eastAsia="宋体" w:cs="Times New Roman"/>
                      <w:color w:val="000000" w:themeColor="text1"/>
                      <w:spacing w:val="-4"/>
                      <w:sz w:val="21"/>
                      <w:szCs w:val="21"/>
                      <w:u w:val="single"/>
                      <w:vertAlign w:val="superscript"/>
                      <w14:textFill>
                        <w14:solidFill>
                          <w14:schemeClr w14:val="tx1"/>
                        </w14:solidFill>
                      </w14:textFill>
                    </w:rPr>
                    <w:t>3</w:t>
                  </w:r>
                </w:p>
              </w:tc>
              <w:tc>
                <w:tcPr>
                  <w:tcW w:w="793" w:type="pct"/>
                  <w:tcBorders>
                    <w:top w:val="single" w:color="000000" w:sz="4" w:space="0"/>
                    <w:left w:val="single" w:color="000000" w:sz="4" w:space="0"/>
                    <w:bottom w:val="single" w:color="000000" w:sz="4" w:space="0"/>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gridAfter w:val="1"/>
                <w:wAfter w:w="17" w:type="pct"/>
                <w:trHeight w:val="340" w:hRule="atLeast"/>
              </w:trPr>
              <w:tc>
                <w:tcPr>
                  <w:tcW w:w="4189" w:type="pct"/>
                  <w:gridSpan w:val="3"/>
                  <w:tcBorders>
                    <w:top w:val="single" w:color="000000" w:sz="4" w:space="0"/>
                    <w:right w:val="single" w:color="000000" w:sz="4" w:space="0"/>
                  </w:tcBorders>
                  <w:noWrap w:val="0"/>
                  <w:vAlign w:val="center"/>
                </w:tcPr>
                <w:p>
                  <w:pPr>
                    <w:pStyle w:val="53"/>
                    <w:keepNext w:val="0"/>
                    <w:keepLines w:val="0"/>
                    <w:suppressLineNumbers w:val="0"/>
                    <w:spacing w:before="0" w:beforeAutospacing="0" w:after="0" w:afterAutospacing="0" w:line="240" w:lineRule="exact"/>
                    <w:ind w:left="0" w:right="1"/>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合计</w:t>
                  </w:r>
                </w:p>
              </w:tc>
              <w:tc>
                <w:tcPr>
                  <w:tcW w:w="793" w:type="pct"/>
                  <w:tcBorders>
                    <w:top w:val="single" w:color="000000" w:sz="4" w:space="0"/>
                    <w:left w:val="single" w:color="000000" w:sz="4" w:space="0"/>
                  </w:tcBorders>
                  <w:noWrap w:val="0"/>
                  <w:vAlign w:val="center"/>
                </w:tcPr>
                <w:p>
                  <w:pPr>
                    <w:pStyle w:val="53"/>
                    <w:keepNext w:val="0"/>
                    <w:keepLines w:val="0"/>
                    <w:suppressLineNumbers w:val="0"/>
                    <w:spacing w:before="14" w:beforeAutospacing="0" w:after="0" w:afterAutospacing="0" w:line="240" w:lineRule="auto"/>
                    <w:ind w:left="0" w:right="1"/>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u w:val="single"/>
                      <w:lang w:val="en-US" w:eastAsia="zh-CN"/>
                      <w14:textFill>
                        <w14:solidFill>
                          <w14:schemeClr w14:val="tx1"/>
                        </w14:solidFill>
                      </w14:textFill>
                    </w:rPr>
                    <w:t>72</w:t>
                  </w:r>
                  <w:r>
                    <w:rPr>
                      <w:rFonts w:hint="default" w:ascii="Times New Roman" w:hAnsi="Times New Roman" w:eastAsia="宋体" w:cs="Times New Roman"/>
                      <w:color w:val="000000" w:themeColor="text1"/>
                      <w:sz w:val="21"/>
                      <w:u w:val="single"/>
                      <w:lang w:val="en-US" w:eastAsia="zh-CN"/>
                      <w14:textFill>
                        <w14:solidFill>
                          <w14:schemeClr w14:val="tx1"/>
                        </w14:solidFill>
                      </w14:textFill>
                    </w:rPr>
                    <w:t>.1</w:t>
                  </w:r>
                </w:p>
              </w:tc>
            </w:tr>
          </w:tbl>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spacing w:val="10"/>
                <w:szCs w:val="21"/>
                <w14:textFill>
                  <w14:solidFill>
                    <w14:schemeClr w14:val="tx1"/>
                  </w14:solidFill>
                </w14:textFill>
              </w:rPr>
            </w:pPr>
          </w:p>
        </w:tc>
      </w:tr>
    </w:tbl>
    <w:p>
      <w:pPr>
        <w:pStyle w:val="6"/>
        <w:rPr>
          <w:rFonts w:hint="default" w:ascii="Times New Roman" w:hAnsi="Times New Roman" w:cs="Times New Roman"/>
          <w:color w:val="000000" w:themeColor="text1"/>
          <w:lang w:val="en-US" w:eastAsia="zh-CN"/>
          <w14:textFill>
            <w14:solidFill>
              <w14:schemeClr w14:val="tx1"/>
            </w14:solidFill>
          </w14:textFill>
        </w:rPr>
      </w:pPr>
    </w:p>
    <w:p>
      <w:pPr>
        <w:rPr>
          <w:rFonts w:hint="default" w:ascii="Times New Roman" w:hAnsi="Times New Roman" w:cs="Times New Roman"/>
          <w:color w:val="000000" w:themeColor="text1"/>
          <w:lang w:val="en-US" w:eastAsia="zh-CN"/>
          <w14:textFill>
            <w14:solidFill>
              <w14:schemeClr w14:val="tx1"/>
            </w14:solidFill>
          </w14:textFill>
        </w:rPr>
        <w:sectPr>
          <w:pgSz w:w="11907" w:h="16840"/>
          <w:pgMar w:top="1440" w:right="1587" w:bottom="1440" w:left="1587" w:header="851" w:footer="1077" w:gutter="0"/>
          <w:pgNumType w:fmt="decimal"/>
          <w:cols w:space="720" w:num="1"/>
          <w:docGrid w:linePitch="312" w:charSpace="0"/>
        </w:sectPr>
      </w:pP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bookmarkStart w:id="23" w:name="_Toc112"/>
      <w:r>
        <w:rPr>
          <w:rFonts w:hint="default" w:ascii="Times New Roman" w:hAnsi="Times New Roman" w:eastAsia="黑体" w:cs="Times New Roman"/>
          <w:snapToGrid w:val="0"/>
          <w:color w:val="000000" w:themeColor="text1"/>
          <w:sz w:val="30"/>
          <w:szCs w:val="30"/>
          <w14:textFill>
            <w14:solidFill>
              <w14:schemeClr w14:val="tx1"/>
            </w14:solidFill>
          </w14:textFill>
        </w:rPr>
        <w:t>六、生态环境保护措施监督检查清单</w:t>
      </w:r>
      <w:bookmarkEnd w:id="23"/>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2535"/>
        <w:gridCol w:w="1545"/>
        <w:gridCol w:w="2295"/>
        <w:gridCol w:w="14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pct"/>
            <w:vMerge w:val="restart"/>
            <w:tcBorders>
              <w:tl2br w:val="single" w:color="auto" w:sz="4" w:space="0"/>
            </w:tcBorders>
            <w:noWrap w:val="0"/>
            <w:vAlign w:val="top"/>
          </w:tcPr>
          <w:p>
            <w:pPr>
              <w:pStyle w:val="19"/>
              <w:keepNext w:val="0"/>
              <w:keepLines w:val="0"/>
              <w:suppressLineNumbers w:val="0"/>
              <w:adjustRightInd w:val="0"/>
              <w:snapToGrid w:val="0"/>
              <w:spacing w:before="72" w:beforeLines="30" w:beforeAutospacing="0" w:after="0" w:afterAutospacing="0"/>
              <w:ind w:left="0" w:right="0"/>
              <w:jc w:val="center"/>
              <w:outlineLvl w:val="0"/>
              <w:rPr>
                <w:rFonts w:hint="default" w:ascii="Times New Roman" w:hAnsi="Times New Roman" w:eastAsia="宋体" w:cs="Times New Roman"/>
                <w:b/>
                <w:bCs/>
                <w:color w:val="000000" w:themeColor="text1"/>
                <w:kern w:val="2"/>
                <w:sz w:val="21"/>
                <w:szCs w:val="21"/>
                <w:u w:val="single"/>
                <w14:textFill>
                  <w14:solidFill>
                    <w14:schemeClr w14:val="tx1"/>
                  </w14:solidFill>
                </w14:textFill>
              </w:rPr>
            </w:pPr>
            <w:r>
              <w:rPr>
                <w:rFonts w:hint="default" w:ascii="Times New Roman" w:hAnsi="Times New Roman" w:eastAsia="宋体" w:cs="Times New Roman"/>
                <w:b/>
                <w:bCs/>
                <w:color w:val="000000" w:themeColor="text1"/>
                <w:kern w:val="2"/>
                <w:sz w:val="21"/>
                <w:szCs w:val="21"/>
                <w:u w:val="single"/>
                <w14:textFill>
                  <w14:solidFill>
                    <w14:schemeClr w14:val="tx1"/>
                  </w14:solidFill>
                </w14:textFill>
              </w:rPr>
              <w:t xml:space="preserve">    </w:t>
            </w:r>
            <w:bookmarkStart w:id="24" w:name="_Toc145"/>
            <w:bookmarkStart w:id="25" w:name="_Toc9655"/>
            <w:bookmarkStart w:id="26" w:name="_Toc2791"/>
            <w:r>
              <w:rPr>
                <w:rFonts w:hint="default" w:ascii="Times New Roman" w:hAnsi="Times New Roman" w:eastAsia="宋体" w:cs="Times New Roman"/>
                <w:b/>
                <w:bCs/>
                <w:color w:val="000000" w:themeColor="text1"/>
                <w:kern w:val="2"/>
                <w:sz w:val="21"/>
                <w:szCs w:val="21"/>
                <w:u w:val="single"/>
                <w14:textFill>
                  <w14:solidFill>
                    <w14:schemeClr w14:val="tx1"/>
                  </w14:solidFill>
                </w14:textFill>
              </w:rPr>
              <w:t>内容</w:t>
            </w:r>
            <w:bookmarkEnd w:id="24"/>
            <w:bookmarkEnd w:id="25"/>
            <w:bookmarkEnd w:id="26"/>
          </w:p>
          <w:p>
            <w:pPr>
              <w:pStyle w:val="19"/>
              <w:keepNext w:val="0"/>
              <w:keepLines w:val="0"/>
              <w:suppressLineNumbers w:val="0"/>
              <w:adjustRightInd w:val="0"/>
              <w:snapToGrid w:val="0"/>
              <w:spacing w:before="0" w:beforeAutospacing="0" w:after="0" w:afterAutospacing="0" w:line="14" w:lineRule="auto"/>
              <w:ind w:left="0" w:right="0"/>
              <w:outlineLvl w:val="9"/>
              <w:rPr>
                <w:rFonts w:hint="default" w:ascii="Times New Roman" w:hAnsi="Times New Roman" w:eastAsia="宋体" w:cs="Times New Roman"/>
                <w:b/>
                <w:bCs/>
                <w:color w:val="000000" w:themeColor="text1"/>
                <w:kern w:val="2"/>
                <w:sz w:val="135"/>
                <w:szCs w:val="21"/>
                <w:u w:val="single"/>
                <w14:textFill>
                  <w14:solidFill>
                    <w14:schemeClr w14:val="tx1"/>
                  </w14:solidFill>
                </w14:textFill>
              </w:rPr>
            </w:pPr>
            <w:r>
              <w:rPr>
                <w:rFonts w:hint="default" w:ascii="Times New Roman" w:hAnsi="Times New Roman" w:eastAsia="宋体" w:cs="Times New Roman"/>
                <w:b/>
                <w:bCs/>
                <w:color w:val="000000" w:themeColor="text1"/>
                <w:kern w:val="2"/>
                <w:sz w:val="21"/>
                <w:szCs w:val="21"/>
                <w:u w:val="single"/>
                <w14:textFill>
                  <w14:solidFill>
                    <w14:schemeClr w14:val="tx1"/>
                  </w14:solidFill>
                </w14:textFill>
              </w:rPr>
              <w:t xml:space="preserve"> </w:t>
            </w:r>
            <w:r>
              <w:rPr>
                <w:rFonts w:hint="default" w:ascii="Times New Roman" w:hAnsi="Times New Roman" w:eastAsia="宋体" w:cs="Times New Roman"/>
                <w:b/>
                <w:bCs/>
                <w:color w:val="000000" w:themeColor="text1"/>
                <w:kern w:val="2"/>
                <w:sz w:val="135"/>
                <w:szCs w:val="21"/>
                <w:u w:val="single"/>
                <w14:textFill>
                  <w14:solidFill>
                    <w14:schemeClr w14:val="tx1"/>
                  </w14:solidFill>
                </w14:textFill>
              </w:rPr>
              <w:t xml:space="preserve"> </w:t>
            </w:r>
          </w:p>
          <w:p>
            <w:pPr>
              <w:pStyle w:val="19"/>
              <w:keepNext w:val="0"/>
              <w:keepLines w:val="0"/>
              <w:suppressLineNumbers w:val="0"/>
              <w:adjustRightInd w:val="0"/>
              <w:snapToGrid w:val="0"/>
              <w:spacing w:before="0" w:beforeAutospacing="0" w:after="0" w:afterAutospacing="0"/>
              <w:ind w:left="0" w:right="0"/>
              <w:outlineLvl w:val="0"/>
              <w:rPr>
                <w:rFonts w:hint="default" w:ascii="Times New Roman" w:hAnsi="Times New Roman" w:eastAsia="宋体" w:cs="Times New Roman"/>
                <w:b/>
                <w:bCs/>
                <w:color w:val="000000" w:themeColor="text1"/>
                <w:kern w:val="2"/>
                <w:sz w:val="21"/>
                <w:szCs w:val="21"/>
                <w:u w:val="single"/>
                <w14:textFill>
                  <w14:solidFill>
                    <w14:schemeClr w14:val="tx1"/>
                  </w14:solidFill>
                </w14:textFill>
              </w:rPr>
            </w:pPr>
            <w:bookmarkStart w:id="27" w:name="_Toc2664"/>
            <w:bookmarkStart w:id="28" w:name="_Toc2236"/>
            <w:bookmarkStart w:id="29" w:name="_Toc13336"/>
            <w:r>
              <w:rPr>
                <w:rFonts w:hint="default" w:ascii="Times New Roman" w:hAnsi="Times New Roman" w:eastAsia="宋体" w:cs="Times New Roman"/>
                <w:b/>
                <w:bCs/>
                <w:color w:val="000000" w:themeColor="text1"/>
                <w:kern w:val="2"/>
                <w:sz w:val="21"/>
                <w:szCs w:val="21"/>
                <w:u w:val="single"/>
                <w14:textFill>
                  <w14:solidFill>
                    <w14:schemeClr w14:val="tx1"/>
                  </w14:solidFill>
                </w14:textFill>
              </w:rPr>
              <w:t>要素</w:t>
            </w:r>
            <w:bookmarkEnd w:id="27"/>
            <w:bookmarkEnd w:id="28"/>
            <w:bookmarkEnd w:id="29"/>
          </w:p>
        </w:tc>
        <w:tc>
          <w:tcPr>
            <w:tcW w:w="2279" w:type="pct"/>
            <w:gridSpan w:val="2"/>
            <w:noWrap w:val="0"/>
            <w:vAlign w:val="center"/>
          </w:tcPr>
          <w:p>
            <w:pPr>
              <w:pStyle w:val="19"/>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eastAsia="宋体" w:cs="Times New Roman"/>
                <w:b/>
                <w:bCs/>
                <w:color w:val="000000" w:themeColor="text1"/>
                <w:kern w:val="2"/>
                <w:sz w:val="21"/>
                <w:szCs w:val="21"/>
                <w:u w:val="single"/>
                <w14:textFill>
                  <w14:solidFill>
                    <w14:schemeClr w14:val="tx1"/>
                  </w14:solidFill>
                </w14:textFill>
              </w:rPr>
            </w:pPr>
            <w:bookmarkStart w:id="30" w:name="_Toc11496"/>
            <w:bookmarkStart w:id="31" w:name="_Toc1543"/>
            <w:bookmarkStart w:id="32" w:name="_Toc7991"/>
            <w:r>
              <w:rPr>
                <w:rFonts w:hint="default" w:ascii="Times New Roman" w:hAnsi="Times New Roman" w:eastAsia="宋体" w:cs="Times New Roman"/>
                <w:b/>
                <w:bCs/>
                <w:color w:val="000000" w:themeColor="text1"/>
                <w:kern w:val="2"/>
                <w:sz w:val="21"/>
                <w:szCs w:val="21"/>
                <w:u w:val="single"/>
                <w14:textFill>
                  <w14:solidFill>
                    <w14:schemeClr w14:val="tx1"/>
                  </w14:solidFill>
                </w14:textFill>
              </w:rPr>
              <w:t>施工期</w:t>
            </w:r>
            <w:bookmarkEnd w:id="30"/>
            <w:bookmarkEnd w:id="31"/>
            <w:bookmarkEnd w:id="32"/>
          </w:p>
        </w:tc>
        <w:tc>
          <w:tcPr>
            <w:tcW w:w="2103" w:type="pct"/>
            <w:gridSpan w:val="2"/>
            <w:noWrap w:val="0"/>
            <w:vAlign w:val="center"/>
          </w:tcPr>
          <w:p>
            <w:pPr>
              <w:pStyle w:val="19"/>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eastAsia="宋体" w:cs="Times New Roman"/>
                <w:b/>
                <w:bCs/>
                <w:color w:val="000000" w:themeColor="text1"/>
                <w:kern w:val="2"/>
                <w:sz w:val="21"/>
                <w:szCs w:val="21"/>
                <w:u w:val="single"/>
                <w14:textFill>
                  <w14:solidFill>
                    <w14:schemeClr w14:val="tx1"/>
                  </w14:solidFill>
                </w14:textFill>
              </w:rPr>
            </w:pPr>
            <w:bookmarkStart w:id="33" w:name="_Toc22289"/>
            <w:bookmarkStart w:id="34" w:name="_Toc7365"/>
            <w:bookmarkStart w:id="35" w:name="_Toc10361"/>
            <w:r>
              <w:rPr>
                <w:rFonts w:hint="default" w:ascii="Times New Roman" w:hAnsi="Times New Roman" w:eastAsia="宋体" w:cs="Times New Roman"/>
                <w:b/>
                <w:bCs/>
                <w:color w:val="000000" w:themeColor="text1"/>
                <w:kern w:val="2"/>
                <w:sz w:val="21"/>
                <w:szCs w:val="21"/>
                <w:u w:val="single"/>
                <w14:textFill>
                  <w14:solidFill>
                    <w14:schemeClr w14:val="tx1"/>
                  </w14:solidFill>
                </w14:textFill>
              </w:rPr>
              <w:t>运营期</w:t>
            </w:r>
            <w:bookmarkEnd w:id="33"/>
            <w:bookmarkEnd w:id="34"/>
            <w:bookmarkEnd w:id="3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pct"/>
            <w:vMerge w:val="continue"/>
            <w:noWrap w:val="0"/>
            <w:vAlign w:val="top"/>
          </w:tcPr>
          <w:p>
            <w:pPr>
              <w:pStyle w:val="19"/>
              <w:keepNext w:val="0"/>
              <w:keepLines w:val="0"/>
              <w:suppressLineNumbers w:val="0"/>
              <w:adjustRightInd w:val="0"/>
              <w:snapToGrid w:val="0"/>
              <w:spacing w:before="0" w:beforeAutospacing="0" w:after="0" w:afterAutospacing="0"/>
              <w:ind w:left="0" w:right="0" w:firstLine="840"/>
              <w:jc w:val="center"/>
              <w:outlineLvl w:val="9"/>
              <w:rPr>
                <w:rFonts w:hint="default" w:ascii="Times New Roman" w:hAnsi="Times New Roman" w:eastAsia="宋体" w:cs="Times New Roman"/>
                <w:b/>
                <w:bCs/>
                <w:color w:val="000000" w:themeColor="text1"/>
                <w:kern w:val="2"/>
                <w:sz w:val="21"/>
                <w:szCs w:val="21"/>
                <w:u w:val="single"/>
                <w14:textFill>
                  <w14:solidFill>
                    <w14:schemeClr w14:val="tx1"/>
                  </w14:solidFill>
                </w14:textFill>
              </w:rPr>
            </w:pPr>
          </w:p>
        </w:tc>
        <w:tc>
          <w:tcPr>
            <w:tcW w:w="1416" w:type="pct"/>
            <w:noWrap w:val="0"/>
            <w:vAlign w:val="center"/>
          </w:tcPr>
          <w:p>
            <w:pPr>
              <w:pStyle w:val="19"/>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eastAsia="宋体" w:cs="Times New Roman"/>
                <w:b/>
                <w:bCs/>
                <w:color w:val="000000" w:themeColor="text1"/>
                <w:kern w:val="2"/>
                <w:sz w:val="21"/>
                <w:szCs w:val="21"/>
                <w:u w:val="single"/>
                <w14:textFill>
                  <w14:solidFill>
                    <w14:schemeClr w14:val="tx1"/>
                  </w14:solidFill>
                </w14:textFill>
              </w:rPr>
            </w:pPr>
            <w:bookmarkStart w:id="36" w:name="_Toc26540"/>
            <w:bookmarkStart w:id="37" w:name="_Toc28283"/>
            <w:bookmarkStart w:id="38" w:name="_Toc28866"/>
            <w:r>
              <w:rPr>
                <w:rFonts w:hint="default" w:ascii="Times New Roman" w:hAnsi="Times New Roman" w:eastAsia="宋体" w:cs="Times New Roman"/>
                <w:b/>
                <w:bCs/>
                <w:color w:val="000000" w:themeColor="text1"/>
                <w:kern w:val="2"/>
                <w:sz w:val="21"/>
                <w:szCs w:val="21"/>
                <w:u w:val="single"/>
                <w14:textFill>
                  <w14:solidFill>
                    <w14:schemeClr w14:val="tx1"/>
                  </w14:solidFill>
                </w14:textFill>
              </w:rPr>
              <w:t>环境保护措施</w:t>
            </w:r>
            <w:bookmarkEnd w:id="36"/>
            <w:bookmarkEnd w:id="37"/>
            <w:bookmarkEnd w:id="38"/>
          </w:p>
        </w:tc>
        <w:tc>
          <w:tcPr>
            <w:tcW w:w="863" w:type="pct"/>
            <w:noWrap w:val="0"/>
            <w:vAlign w:val="center"/>
          </w:tcPr>
          <w:p>
            <w:pPr>
              <w:pStyle w:val="19"/>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eastAsia="宋体" w:cs="Times New Roman"/>
                <w:b/>
                <w:bCs/>
                <w:color w:val="000000" w:themeColor="text1"/>
                <w:kern w:val="2"/>
                <w:sz w:val="21"/>
                <w:szCs w:val="21"/>
                <w:u w:val="single"/>
                <w14:textFill>
                  <w14:solidFill>
                    <w14:schemeClr w14:val="tx1"/>
                  </w14:solidFill>
                </w14:textFill>
              </w:rPr>
            </w:pPr>
            <w:bookmarkStart w:id="39" w:name="_Toc5570"/>
            <w:bookmarkStart w:id="40" w:name="_Toc6330"/>
            <w:bookmarkStart w:id="41" w:name="_Toc24554"/>
            <w:r>
              <w:rPr>
                <w:rFonts w:hint="default" w:ascii="Times New Roman" w:hAnsi="Times New Roman" w:eastAsia="宋体" w:cs="Times New Roman"/>
                <w:b/>
                <w:bCs/>
                <w:color w:val="000000" w:themeColor="text1"/>
                <w:kern w:val="2"/>
                <w:sz w:val="21"/>
                <w:szCs w:val="21"/>
                <w:u w:val="single"/>
                <w14:textFill>
                  <w14:solidFill>
                    <w14:schemeClr w14:val="tx1"/>
                  </w14:solidFill>
                </w14:textFill>
              </w:rPr>
              <w:t>验收要求</w:t>
            </w:r>
            <w:bookmarkEnd w:id="39"/>
            <w:bookmarkEnd w:id="40"/>
            <w:bookmarkEnd w:id="41"/>
          </w:p>
        </w:tc>
        <w:tc>
          <w:tcPr>
            <w:tcW w:w="1282" w:type="pct"/>
            <w:noWrap w:val="0"/>
            <w:vAlign w:val="center"/>
          </w:tcPr>
          <w:p>
            <w:pPr>
              <w:pStyle w:val="19"/>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eastAsia="宋体" w:cs="Times New Roman"/>
                <w:b/>
                <w:bCs/>
                <w:color w:val="000000" w:themeColor="text1"/>
                <w:kern w:val="2"/>
                <w:sz w:val="21"/>
                <w:szCs w:val="21"/>
                <w:u w:val="single"/>
                <w14:textFill>
                  <w14:solidFill>
                    <w14:schemeClr w14:val="tx1"/>
                  </w14:solidFill>
                </w14:textFill>
              </w:rPr>
            </w:pPr>
            <w:bookmarkStart w:id="42" w:name="_Toc29177"/>
            <w:bookmarkStart w:id="43" w:name="_Toc27278"/>
            <w:bookmarkStart w:id="44" w:name="_Toc7642"/>
            <w:r>
              <w:rPr>
                <w:rFonts w:hint="default" w:ascii="Times New Roman" w:hAnsi="Times New Roman" w:eastAsia="宋体" w:cs="Times New Roman"/>
                <w:b/>
                <w:bCs/>
                <w:color w:val="000000" w:themeColor="text1"/>
                <w:kern w:val="2"/>
                <w:sz w:val="21"/>
                <w:szCs w:val="21"/>
                <w:u w:val="single"/>
                <w14:textFill>
                  <w14:solidFill>
                    <w14:schemeClr w14:val="tx1"/>
                  </w14:solidFill>
                </w14:textFill>
              </w:rPr>
              <w:t>环境保护措施</w:t>
            </w:r>
            <w:bookmarkEnd w:id="42"/>
            <w:bookmarkEnd w:id="43"/>
            <w:bookmarkEnd w:id="44"/>
          </w:p>
        </w:tc>
        <w:tc>
          <w:tcPr>
            <w:tcW w:w="821" w:type="pct"/>
            <w:noWrap w:val="0"/>
            <w:vAlign w:val="center"/>
          </w:tcPr>
          <w:p>
            <w:pPr>
              <w:pStyle w:val="19"/>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eastAsia="宋体" w:cs="Times New Roman"/>
                <w:b/>
                <w:bCs/>
                <w:color w:val="000000" w:themeColor="text1"/>
                <w:kern w:val="2"/>
                <w:sz w:val="21"/>
                <w:szCs w:val="21"/>
                <w:u w:val="single"/>
                <w14:textFill>
                  <w14:solidFill>
                    <w14:schemeClr w14:val="tx1"/>
                  </w14:solidFill>
                </w14:textFill>
              </w:rPr>
            </w:pPr>
            <w:bookmarkStart w:id="45" w:name="_Toc27830"/>
            <w:bookmarkStart w:id="46" w:name="_Toc8694"/>
            <w:bookmarkStart w:id="47" w:name="_Toc22397"/>
            <w:r>
              <w:rPr>
                <w:rFonts w:hint="default" w:ascii="Times New Roman" w:hAnsi="Times New Roman" w:eastAsia="宋体" w:cs="Times New Roman"/>
                <w:b/>
                <w:bCs/>
                <w:color w:val="000000" w:themeColor="text1"/>
                <w:kern w:val="2"/>
                <w:sz w:val="21"/>
                <w:szCs w:val="21"/>
                <w:u w:val="single"/>
                <w14:textFill>
                  <w14:solidFill>
                    <w14:schemeClr w14:val="tx1"/>
                  </w14:solidFill>
                </w14:textFill>
              </w:rPr>
              <w:t>验收要求</w:t>
            </w:r>
            <w:bookmarkEnd w:id="45"/>
            <w:bookmarkEnd w:id="46"/>
            <w:bookmarkEnd w:id="4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陆生生态</w:t>
            </w:r>
          </w:p>
        </w:tc>
        <w:tc>
          <w:tcPr>
            <w:tcW w:w="1416" w:type="pct"/>
            <w:noWrap w:val="0"/>
            <w:vAlign w:val="center"/>
          </w:tcPr>
          <w:p>
            <w:pPr>
              <w:keepNext w:val="0"/>
              <w:keepLines w:val="0"/>
              <w:suppressLineNumbers w:val="0"/>
              <w:spacing w:before="0" w:beforeLines="0" w:beforeAutospacing="0" w:after="0" w:afterLines="0" w:afterAutospacing="0"/>
              <w:ind w:left="0" w:right="0"/>
              <w:jc w:val="left"/>
              <w:rPr>
                <w:rFonts w:hint="default" w:ascii="Times New Roman" w:hAnsi="Times New Roman" w:eastAsia="宋体" w:cs="Times New Roman"/>
                <w:color w:val="000000" w:themeColor="text1"/>
                <w:szCs w:val="21"/>
                <w:u w:val="single"/>
                <w:lang w:eastAsia="zh-CN"/>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①严格控制施工活动在征地红线范围内进行，严格控制施工作业区域</w:t>
            </w:r>
            <w:r>
              <w:rPr>
                <w:rFonts w:hint="default" w:ascii="Times New Roman" w:hAnsi="Times New Roman" w:cs="Times New Roman"/>
                <w:color w:val="000000" w:themeColor="text1"/>
                <w:szCs w:val="21"/>
                <w:u w:val="single"/>
                <w:lang w:eastAsia="zh-CN"/>
                <w14:textFill>
                  <w14:solidFill>
                    <w14:schemeClr w14:val="tx1"/>
                  </w14:solidFill>
                </w14:textFill>
              </w:rPr>
              <w:t>，</w:t>
            </w:r>
            <w:r>
              <w:rPr>
                <w:rFonts w:hint="default" w:ascii="Times New Roman" w:hAnsi="Times New Roman" w:cs="Times New Roman"/>
                <w:color w:val="000000" w:themeColor="text1"/>
                <w:szCs w:val="21"/>
                <w:u w:val="single"/>
                <w:lang w:val="en-US" w:eastAsia="zh-CN"/>
                <w14:textFill>
                  <w14:solidFill>
                    <w14:schemeClr w14:val="tx1"/>
                  </w14:solidFill>
                </w14:textFill>
              </w:rPr>
              <w:t>减少土地占用</w:t>
            </w:r>
            <w:r>
              <w:rPr>
                <w:rFonts w:hint="default" w:ascii="Times New Roman" w:hAnsi="Times New Roman" w:cs="Times New Roman"/>
                <w:color w:val="000000" w:themeColor="text1"/>
                <w:szCs w:val="21"/>
                <w:u w:val="single"/>
                <w:lang w:eastAsia="zh-CN"/>
                <w14:textFill>
                  <w14:solidFill>
                    <w14:schemeClr w14:val="tx1"/>
                  </w14:solidFill>
                </w14:textFill>
              </w:rPr>
              <w:t>；</w:t>
            </w:r>
            <w:r>
              <w:rPr>
                <w:rFonts w:hint="default" w:ascii="Times New Roman" w:hAnsi="Times New Roman" w:eastAsia="宋体" w:cs="Times New Roman"/>
                <w:color w:val="000000" w:themeColor="text1"/>
                <w:sz w:val="21"/>
                <w:szCs w:val="24"/>
                <w:u w:val="single"/>
                <w14:textFill>
                  <w14:solidFill>
                    <w14:schemeClr w14:val="tx1"/>
                  </w14:solidFill>
                </w14:textFill>
              </w:rPr>
              <w:t>②</w:t>
            </w:r>
            <w:r>
              <w:rPr>
                <w:rFonts w:hint="default" w:ascii="Times New Roman" w:hAnsi="Times New Roman" w:eastAsia="宋体" w:cs="Times New Roman"/>
                <w:color w:val="000000" w:themeColor="text1"/>
                <w:sz w:val="21"/>
                <w:szCs w:val="24"/>
                <w:u w:val="single"/>
                <w:lang w:eastAsia="zh-CN"/>
                <w14:textFill>
                  <w14:solidFill>
                    <w14:schemeClr w14:val="tx1"/>
                  </w14:solidFill>
                </w14:textFill>
              </w:rPr>
              <w:t>优化施工方案及施工工艺，严格按照施工时序进行施工，减轻施工期对植被环境的影响。</w:t>
            </w:r>
            <w:r>
              <w:rPr>
                <w:rFonts w:hint="default" w:ascii="Times New Roman" w:hAnsi="Times New Roman" w:eastAsia="宋体" w:cs="Times New Roman"/>
                <w:color w:val="000000" w:themeColor="text1"/>
                <w:sz w:val="21"/>
                <w:szCs w:val="24"/>
                <w:u w:val="single"/>
                <w14:textFill>
                  <w14:solidFill>
                    <w14:schemeClr w14:val="tx1"/>
                  </w14:solidFill>
                </w14:textFill>
              </w:rPr>
              <w:t>③剥离的表土单独贮存，施工结束后用于厂区绿化覆土，临时表土堆场应采取水土保持措施</w:t>
            </w:r>
            <w:r>
              <w:rPr>
                <w:rFonts w:hint="default" w:ascii="Times New Roman" w:hAnsi="Times New Roman" w:eastAsia="宋体" w:cs="Times New Roman"/>
                <w:color w:val="000000" w:themeColor="text1"/>
                <w:sz w:val="21"/>
                <w:szCs w:val="24"/>
                <w:u w:val="single"/>
                <w:lang w:eastAsia="zh-CN"/>
                <w14:textFill>
                  <w14:solidFill>
                    <w14:schemeClr w14:val="tx1"/>
                  </w14:solidFill>
                </w14:textFill>
              </w:rPr>
              <w:t>。④对施工占地破坏植被而造成裸露的土地应在施工结束后立即整治利用，</w:t>
            </w:r>
            <w:r>
              <w:rPr>
                <w:rFonts w:hint="default" w:ascii="Times New Roman" w:hAnsi="Times New Roman" w:eastAsia="宋体" w:cs="Times New Roman"/>
                <w:color w:val="000000" w:themeColor="text1"/>
                <w:sz w:val="21"/>
                <w:szCs w:val="24"/>
                <w:u w:val="single"/>
                <w:lang w:val="en-US" w:eastAsia="zh-CN"/>
                <w14:textFill>
                  <w14:solidFill>
                    <w14:schemeClr w14:val="tx1"/>
                  </w14:solidFill>
                </w14:textFill>
              </w:rPr>
              <w:t>进行植被恢复</w:t>
            </w:r>
            <w:r>
              <w:rPr>
                <w:rFonts w:hint="default" w:ascii="Times New Roman" w:hAnsi="Times New Roman" w:eastAsia="宋体" w:cs="Times New Roman"/>
                <w:color w:val="000000" w:themeColor="text1"/>
                <w:sz w:val="21"/>
                <w:szCs w:val="24"/>
                <w:u w:val="single"/>
                <w:lang w:eastAsia="zh-CN"/>
                <w14:textFill>
                  <w14:solidFill>
                    <w14:schemeClr w14:val="tx1"/>
                  </w14:solidFill>
                </w14:textFill>
              </w:rPr>
              <w:t>。</w:t>
            </w:r>
          </w:p>
        </w:tc>
        <w:tc>
          <w:tcPr>
            <w:tcW w:w="86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达到生态环境保护要求</w:t>
            </w:r>
          </w:p>
        </w:tc>
        <w:tc>
          <w:tcPr>
            <w:tcW w:w="128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u w:val="single"/>
                <w:lang w:eastAsia="zh-CN"/>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项目建成后，对</w:t>
            </w:r>
            <w:r>
              <w:rPr>
                <w:rFonts w:hint="default" w:ascii="Times New Roman" w:hAnsi="Times New Roman" w:cs="Times New Roman"/>
                <w:color w:val="000000" w:themeColor="text1"/>
                <w:szCs w:val="21"/>
                <w:u w:val="single"/>
                <w:lang w:val="en-US" w:eastAsia="zh-CN"/>
                <w14:textFill>
                  <w14:solidFill>
                    <w14:schemeClr w14:val="tx1"/>
                  </w14:solidFill>
                </w14:textFill>
              </w:rPr>
              <w:t>升压站场地内进行绿化</w:t>
            </w:r>
            <w:r>
              <w:rPr>
                <w:rFonts w:hint="default" w:ascii="Times New Roman" w:hAnsi="Times New Roman" w:cs="Times New Roman"/>
                <w:color w:val="000000" w:themeColor="text1"/>
                <w:szCs w:val="21"/>
                <w:u w:val="single"/>
                <w:lang w:eastAsia="zh-CN"/>
                <w14:textFill>
                  <w14:solidFill>
                    <w14:schemeClr w14:val="tx1"/>
                  </w14:solidFill>
                </w14:textFill>
              </w:rPr>
              <w:t>。</w:t>
            </w:r>
          </w:p>
        </w:tc>
        <w:tc>
          <w:tcPr>
            <w:tcW w:w="82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达到生态环境保护要求。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6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水生生态</w:t>
            </w:r>
          </w:p>
        </w:tc>
        <w:tc>
          <w:tcPr>
            <w:tcW w:w="14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w:t>
            </w:r>
          </w:p>
        </w:tc>
        <w:tc>
          <w:tcPr>
            <w:tcW w:w="86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w:t>
            </w:r>
          </w:p>
        </w:tc>
        <w:tc>
          <w:tcPr>
            <w:tcW w:w="128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w:t>
            </w:r>
          </w:p>
        </w:tc>
        <w:tc>
          <w:tcPr>
            <w:tcW w:w="82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地表水环境</w:t>
            </w:r>
          </w:p>
        </w:tc>
        <w:tc>
          <w:tcPr>
            <w:tcW w:w="14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highlight w:val="none"/>
                <w:u w:val="single"/>
                <w14:textFill>
                  <w14:solidFill>
                    <w14:schemeClr w14:val="tx1"/>
                  </w14:solidFill>
                </w14:textFill>
              </w:rPr>
            </w:pPr>
            <w:r>
              <w:rPr>
                <w:rFonts w:hint="default" w:ascii="Times New Roman" w:hAnsi="Times New Roman" w:cs="Times New Roman"/>
                <w:color w:val="000000" w:themeColor="text1"/>
                <w:szCs w:val="21"/>
                <w:highlight w:val="none"/>
                <w:u w:val="single"/>
                <w14:textFill>
                  <w14:solidFill>
                    <w14:schemeClr w14:val="tx1"/>
                  </w14:solidFill>
                </w14:textFill>
              </w:rPr>
              <w:t>①施工废水、雨水径流排入临时沉淀池，经沉淀处理后，回用作施工作业用水或施工场地降尘用水，不外排。②施工人员生活污水</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经</w:t>
            </w:r>
            <w:r>
              <w:rPr>
                <w:rFonts w:hint="default" w:ascii="Times New Roman" w:hAnsi="Times New Roman" w:cs="Times New Roman"/>
                <w:color w:val="000000" w:themeColor="text1"/>
                <w:szCs w:val="21"/>
                <w:highlight w:val="none"/>
                <w:u w:val="single"/>
                <w14:textFill>
                  <w14:solidFill>
                    <w14:schemeClr w14:val="tx1"/>
                  </w14:solidFill>
                </w14:textFill>
              </w:rPr>
              <w:t>化粪池</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处理后</w:t>
            </w:r>
            <w:r>
              <w:rPr>
                <w:rFonts w:hint="default" w:ascii="Times New Roman" w:hAnsi="Times New Roman" w:cs="Times New Roman"/>
                <w:color w:val="000000" w:themeColor="text1"/>
                <w:szCs w:val="21"/>
                <w:highlight w:val="none"/>
                <w:u w:val="single"/>
                <w14:textFill>
                  <w14:solidFill>
                    <w14:schemeClr w14:val="tx1"/>
                  </w14:solidFill>
                </w14:textFill>
              </w:rPr>
              <w:t>，委托周边村民定期清掏作农肥，不外排。</w:t>
            </w:r>
          </w:p>
        </w:tc>
        <w:tc>
          <w:tcPr>
            <w:tcW w:w="86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highlight w:val="none"/>
                <w:u w:val="single"/>
                <w14:textFill>
                  <w14:solidFill>
                    <w14:schemeClr w14:val="tx1"/>
                  </w14:solidFill>
                </w14:textFill>
              </w:rPr>
            </w:pPr>
            <w:r>
              <w:rPr>
                <w:rFonts w:hint="default" w:ascii="Times New Roman" w:hAnsi="Times New Roman" w:cs="Times New Roman"/>
                <w:color w:val="000000" w:themeColor="text1"/>
                <w:szCs w:val="21"/>
                <w:highlight w:val="none"/>
                <w:u w:val="single"/>
                <w14:textFill>
                  <w14:solidFill>
                    <w14:schemeClr w14:val="tx1"/>
                  </w14:solidFill>
                </w14:textFill>
              </w:rPr>
              <w:t>废水不外排</w:t>
            </w:r>
          </w:p>
        </w:tc>
        <w:tc>
          <w:tcPr>
            <w:tcW w:w="128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highlight w:val="none"/>
                <w:u w:val="single"/>
                <w14:textFill>
                  <w14:solidFill>
                    <w14:schemeClr w14:val="tx1"/>
                  </w14:solidFill>
                </w14:textFill>
              </w:rPr>
            </w:pPr>
            <w:r>
              <w:rPr>
                <w:rFonts w:hint="default" w:ascii="Times New Roman" w:hAnsi="Times New Roman" w:cs="Times New Roman"/>
                <w:color w:val="000000" w:themeColor="text1"/>
                <w:szCs w:val="21"/>
                <w:highlight w:val="none"/>
                <w:u w:val="single"/>
                <w:lang w:eastAsia="zh-CN"/>
                <w14:textFill>
                  <w14:solidFill>
                    <w14:schemeClr w14:val="tx1"/>
                  </w14:solidFill>
                </w14:textFill>
              </w:rPr>
              <w:t>生活污水经一体化污水处理设施处理后用于站内绿化</w:t>
            </w:r>
            <w:r>
              <w:rPr>
                <w:rFonts w:hint="default" w:ascii="Times New Roman" w:hAnsi="Times New Roman" w:cs="Times New Roman"/>
                <w:color w:val="000000" w:themeColor="text1"/>
                <w:szCs w:val="21"/>
                <w:highlight w:val="none"/>
                <w:u w:val="single"/>
                <w14:textFill>
                  <w14:solidFill>
                    <w14:schemeClr w14:val="tx1"/>
                  </w14:solidFill>
                </w14:textFill>
              </w:rPr>
              <w:t>，不外排。</w:t>
            </w:r>
          </w:p>
        </w:tc>
        <w:tc>
          <w:tcPr>
            <w:tcW w:w="82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废水</w:t>
            </w:r>
            <w:r>
              <w:rPr>
                <w:rFonts w:hint="default" w:ascii="Times New Roman" w:hAnsi="Times New Roman" w:cs="Times New Roman"/>
                <w:color w:val="000000" w:themeColor="text1"/>
                <w:sz w:val="21"/>
                <w:u w:val="single"/>
                <w:lang w:val="en-US" w:eastAsia="zh-CN"/>
                <w14:textFill>
                  <w14:solidFill>
                    <w14:schemeClr w14:val="tx1"/>
                  </w14:solidFill>
                </w14:textFill>
              </w:rPr>
              <w:t>不</w:t>
            </w:r>
            <w:r>
              <w:rPr>
                <w:rFonts w:hint="default" w:ascii="Times New Roman" w:hAnsi="Times New Roman" w:cs="Times New Roman"/>
                <w:color w:val="000000" w:themeColor="text1"/>
                <w:sz w:val="21"/>
                <w:u w:val="single"/>
                <w14:textFill>
                  <w14:solidFill>
                    <w14:schemeClr w14:val="tx1"/>
                  </w14:solidFill>
                </w14:textFill>
              </w:rPr>
              <w:t>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地下水及土壤环境</w:t>
            </w:r>
          </w:p>
        </w:tc>
        <w:tc>
          <w:tcPr>
            <w:tcW w:w="14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w:t>
            </w:r>
          </w:p>
        </w:tc>
        <w:tc>
          <w:tcPr>
            <w:tcW w:w="86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w:t>
            </w:r>
          </w:p>
        </w:tc>
        <w:tc>
          <w:tcPr>
            <w:tcW w:w="128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w:t>
            </w:r>
          </w:p>
        </w:tc>
        <w:tc>
          <w:tcPr>
            <w:tcW w:w="82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6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声环境</w:t>
            </w:r>
          </w:p>
        </w:tc>
        <w:tc>
          <w:tcPr>
            <w:tcW w:w="14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采用噪声较低的生产设备，并加强维修保养，避免夜间运输（22点~次日6点），禁止夜间高噪声机械施工等</w:t>
            </w:r>
          </w:p>
        </w:tc>
        <w:tc>
          <w:tcPr>
            <w:tcW w:w="86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场界噪声达到《建筑施工场界环境噪声排放标准》（GB12523-2011）要求。</w:t>
            </w:r>
          </w:p>
        </w:tc>
        <w:tc>
          <w:tcPr>
            <w:tcW w:w="128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①选用低噪声设备，并加装减振垫、消声器等降噪措施。②升压站四周设置围墙、种植树木，利用墙体和绿化隔声降噪。</w:t>
            </w:r>
          </w:p>
        </w:tc>
        <w:tc>
          <w:tcPr>
            <w:tcW w:w="82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满足《工业企业厂界环境噪声排放标准》（GB12348-2008）</w:t>
            </w:r>
            <w:r>
              <w:rPr>
                <w:rFonts w:hint="default" w:ascii="Times New Roman" w:hAnsi="Times New Roman" w:cs="Times New Roman"/>
                <w:color w:val="000000" w:themeColor="text1"/>
                <w:szCs w:val="21"/>
                <w:u w:val="single"/>
                <w:lang w:val="en-US" w:eastAsia="zh-CN"/>
                <w14:textFill>
                  <w14:solidFill>
                    <w14:schemeClr w14:val="tx1"/>
                  </w14:solidFill>
                </w14:textFill>
              </w:rPr>
              <w:t>2</w:t>
            </w:r>
            <w:r>
              <w:rPr>
                <w:rFonts w:hint="default" w:ascii="Times New Roman" w:hAnsi="Times New Roman" w:cs="Times New Roman"/>
                <w:color w:val="000000" w:themeColor="text1"/>
                <w:szCs w:val="21"/>
                <w:u w:val="single"/>
                <w14:textFill>
                  <w14:solidFill>
                    <w14:schemeClr w14:val="tx1"/>
                  </w14:solidFill>
                </w14:textFill>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振动</w:t>
            </w:r>
          </w:p>
        </w:tc>
        <w:tc>
          <w:tcPr>
            <w:tcW w:w="14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w:t>
            </w:r>
          </w:p>
        </w:tc>
        <w:tc>
          <w:tcPr>
            <w:tcW w:w="86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w:t>
            </w:r>
          </w:p>
        </w:tc>
        <w:tc>
          <w:tcPr>
            <w:tcW w:w="128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w:t>
            </w:r>
          </w:p>
        </w:tc>
        <w:tc>
          <w:tcPr>
            <w:tcW w:w="82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6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大气环境</w:t>
            </w:r>
          </w:p>
        </w:tc>
        <w:tc>
          <w:tcPr>
            <w:tcW w:w="14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①砂石料堆放场、临时表土堆放场等粉粒状物料堆场选址应远离居民等环境敏感点，同时采用篷布覆盖、洒水降尘等措施。②定期对施工场地、施工道路进行洒水降尘。③加强运输车辆管理。运输车辆货斗应加盖篷布，减少物料洒落</w:t>
            </w:r>
            <w:r>
              <w:rPr>
                <w:rFonts w:hint="default" w:ascii="Times New Roman" w:hAnsi="Times New Roman" w:cs="Times New Roman"/>
                <w:color w:val="000000" w:themeColor="text1"/>
                <w:szCs w:val="21"/>
                <w:u w:val="single"/>
                <w:lang w:eastAsia="zh-CN"/>
                <w14:textFill>
                  <w14:solidFill>
                    <w14:schemeClr w14:val="tx1"/>
                  </w14:solidFill>
                </w14:textFill>
              </w:rPr>
              <w:t>。</w:t>
            </w:r>
            <w:r>
              <w:rPr>
                <w:rFonts w:hint="default" w:ascii="Times New Roman" w:hAnsi="Times New Roman" w:cs="Times New Roman"/>
                <w:color w:val="000000" w:themeColor="text1"/>
                <w:szCs w:val="21"/>
                <w:u w:val="single"/>
                <w14:textFill>
                  <w14:solidFill>
                    <w14:schemeClr w14:val="tx1"/>
                  </w14:solidFill>
                </w14:textFill>
              </w:rPr>
              <w:t>④尽量避开大风天施工作业，减轻风动扬尘影响。⑤升压站施工时，施工场地四周设置围墙围挡及场地洒水。</w:t>
            </w:r>
          </w:p>
        </w:tc>
        <w:tc>
          <w:tcPr>
            <w:tcW w:w="86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满足《大气污染物综合排放标准》（GB16297-1996）表2 中无组织排放限值要求。</w:t>
            </w:r>
          </w:p>
        </w:tc>
        <w:tc>
          <w:tcPr>
            <w:tcW w:w="128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①</w:t>
            </w:r>
            <w:r>
              <w:rPr>
                <w:rFonts w:hint="default" w:ascii="Times New Roman" w:hAnsi="Times New Roman" w:cs="Times New Roman"/>
                <w:color w:val="000000" w:themeColor="text1"/>
                <w:szCs w:val="21"/>
                <w:u w:val="single"/>
                <w:lang w:val="en-US" w:eastAsia="zh-CN"/>
                <w14:textFill>
                  <w14:solidFill>
                    <w14:schemeClr w14:val="tx1"/>
                  </w14:solidFill>
                </w14:textFill>
              </w:rPr>
              <w:t>食堂</w:t>
            </w:r>
            <w:r>
              <w:rPr>
                <w:rFonts w:hint="default" w:ascii="Times New Roman" w:hAnsi="Times New Roman" w:cs="Times New Roman"/>
                <w:color w:val="000000" w:themeColor="text1"/>
                <w:szCs w:val="21"/>
                <w:u w:val="single"/>
                <w14:textFill>
                  <w14:solidFill>
                    <w14:schemeClr w14:val="tx1"/>
                  </w14:solidFill>
                </w14:textFill>
              </w:rPr>
              <w:t>油烟经</w:t>
            </w:r>
            <w:r>
              <w:rPr>
                <w:rFonts w:hint="default" w:ascii="Times New Roman" w:hAnsi="Times New Roman" w:cs="Times New Roman"/>
                <w:color w:val="000000" w:themeColor="text1"/>
                <w:szCs w:val="21"/>
                <w:u w:val="single"/>
                <w:lang w:eastAsia="zh-CN"/>
                <w14:textFill>
                  <w14:solidFill>
                    <w14:schemeClr w14:val="tx1"/>
                  </w14:solidFill>
                </w14:textFill>
              </w:rPr>
              <w:t>油烟净化设备处理后</w:t>
            </w:r>
            <w:r>
              <w:rPr>
                <w:rFonts w:hint="default" w:ascii="Times New Roman" w:hAnsi="Times New Roman" w:cs="Times New Roman"/>
                <w:color w:val="000000" w:themeColor="text1"/>
                <w:szCs w:val="21"/>
                <w:u w:val="single"/>
                <w14:textFill>
                  <w14:solidFill>
                    <w14:schemeClr w14:val="tx1"/>
                  </w14:solidFill>
                </w14:textFill>
              </w:rPr>
              <w:t>排放。②</w:t>
            </w:r>
            <w:r>
              <w:rPr>
                <w:rFonts w:hint="default" w:ascii="Times New Roman" w:hAnsi="Times New Roman" w:cs="Times New Roman"/>
                <w:color w:val="000000" w:themeColor="text1"/>
                <w:szCs w:val="21"/>
                <w:u w:val="single"/>
                <w:lang w:eastAsia="zh-CN"/>
                <w14:textFill>
                  <w14:solidFill>
                    <w14:schemeClr w14:val="tx1"/>
                  </w14:solidFill>
                </w14:textFill>
              </w:rPr>
              <w:t>一体化污水处理设施</w:t>
            </w:r>
            <w:r>
              <w:rPr>
                <w:rFonts w:hint="default" w:ascii="Times New Roman" w:hAnsi="Times New Roman" w:cs="Times New Roman"/>
                <w:color w:val="000000" w:themeColor="text1"/>
                <w:szCs w:val="21"/>
                <w:u w:val="single"/>
                <w14:textFill>
                  <w14:solidFill>
                    <w14:schemeClr w14:val="tx1"/>
                  </w14:solidFill>
                </w14:textFill>
              </w:rPr>
              <w:t>密闭运行，并在其周边种植绿化。③垃圾收集桶加盖密封，垃圾及时清运出场。</w:t>
            </w:r>
          </w:p>
        </w:tc>
        <w:tc>
          <w:tcPr>
            <w:tcW w:w="82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u w:val="single"/>
                <w:lang w:eastAsia="zh-CN"/>
                <w14:textFill>
                  <w14:solidFill>
                    <w14:schemeClr w14:val="tx1"/>
                  </w14:solidFill>
                </w14:textFill>
              </w:rPr>
            </w:pPr>
            <w:r>
              <w:rPr>
                <w:rFonts w:hint="default" w:ascii="Times New Roman" w:hAnsi="Times New Roman" w:eastAsia="宋体" w:cs="Times New Roman"/>
                <w:color w:val="000000" w:themeColor="text1"/>
                <w:szCs w:val="21"/>
                <w:u w:val="single"/>
                <w:lang w:eastAsia="zh-CN"/>
                <w14:textFill>
                  <w14:solidFill>
                    <w14:schemeClr w14:val="tx1"/>
                  </w14:solidFill>
                </w14:textFill>
              </w:rPr>
              <w:t>《饮食业油烟排放标准》(GB18483-2001)</w:t>
            </w:r>
            <w:r>
              <w:rPr>
                <w:rFonts w:hint="eastAsia" w:cs="Times New Roman"/>
                <w:color w:val="000000" w:themeColor="text1"/>
                <w:szCs w:val="21"/>
                <w:u w:val="single"/>
                <w:lang w:eastAsia="zh-CN"/>
                <w14:textFill>
                  <w14:solidFill>
                    <w14:schemeClr w14:val="tx1"/>
                  </w14:solidFill>
                </w14:textFill>
              </w:rPr>
              <w:t>（试行）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固体废物</w:t>
            </w:r>
          </w:p>
        </w:tc>
        <w:tc>
          <w:tcPr>
            <w:tcW w:w="14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①土石方回填于</w:t>
            </w:r>
            <w:r>
              <w:rPr>
                <w:rFonts w:hint="default" w:ascii="Times New Roman" w:hAnsi="Times New Roman" w:cs="Times New Roman"/>
                <w:color w:val="000000" w:themeColor="text1"/>
                <w:szCs w:val="21"/>
                <w:u w:val="single"/>
                <w:lang w:val="en-US" w:eastAsia="zh-CN"/>
                <w14:textFill>
                  <w14:solidFill>
                    <w14:schemeClr w14:val="tx1"/>
                  </w14:solidFill>
                </w14:textFill>
              </w:rPr>
              <w:t>光伏场区</w:t>
            </w:r>
            <w:r>
              <w:rPr>
                <w:rFonts w:hint="default" w:ascii="Times New Roman" w:hAnsi="Times New Roman" w:cs="Times New Roman"/>
                <w:color w:val="000000" w:themeColor="text1"/>
                <w:szCs w:val="21"/>
                <w:u w:val="single"/>
                <w14:textFill>
                  <w14:solidFill>
                    <w14:schemeClr w14:val="tx1"/>
                  </w14:solidFill>
                </w14:textFill>
              </w:rPr>
              <w:t>，不产生弃渣。</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②建筑垃圾分类收集，可回收利用部分集中收出售给废品回收商；不可回收利用部分集中收集后，清运至当地管理部门指定地点倾倒和填埋。</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③生活垃圾</w:t>
            </w:r>
            <w:r>
              <w:rPr>
                <w:rFonts w:hint="default" w:ascii="Times New Roman" w:hAnsi="Times New Roman" w:cs="Times New Roman"/>
                <w:color w:val="000000" w:themeColor="text1"/>
                <w:szCs w:val="21"/>
                <w:u w:val="single"/>
                <w:lang w:val="en-US" w:eastAsia="zh-CN"/>
                <w14:textFill>
                  <w14:solidFill>
                    <w14:schemeClr w14:val="tx1"/>
                  </w14:solidFill>
                </w14:textFill>
              </w:rPr>
              <w:t>集中收集</w:t>
            </w:r>
            <w:r>
              <w:rPr>
                <w:rFonts w:hint="default" w:ascii="Times New Roman" w:hAnsi="Times New Roman" w:cs="Times New Roman"/>
                <w:color w:val="000000" w:themeColor="text1"/>
                <w:szCs w:val="21"/>
                <w:u w:val="single"/>
                <w14:textFill>
                  <w14:solidFill>
                    <w14:schemeClr w14:val="tx1"/>
                  </w14:solidFill>
                </w14:textFill>
              </w:rPr>
              <w:t>清运至周边村庄垃圾收集点。</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④严禁就地焚烧垃圾。</w:t>
            </w:r>
          </w:p>
        </w:tc>
        <w:tc>
          <w:tcPr>
            <w:tcW w:w="86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妥善处置</w:t>
            </w:r>
          </w:p>
        </w:tc>
        <w:tc>
          <w:tcPr>
            <w:tcW w:w="128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u w:val="single"/>
                <w:lang w:eastAsia="zh-CN"/>
                <w14:textFill>
                  <w14:solidFill>
                    <w14:schemeClr w14:val="tx1"/>
                  </w14:solidFill>
                </w14:textFill>
              </w:rPr>
            </w:pPr>
            <w:r>
              <w:rPr>
                <w:rFonts w:hint="default" w:ascii="Times New Roman" w:hAnsi="Times New Roman" w:eastAsia="宋体" w:cs="Times New Roman"/>
                <w:color w:val="000000" w:themeColor="text1"/>
                <w:szCs w:val="21"/>
                <w:u w:val="single"/>
                <w:lang w:eastAsia="zh-CN"/>
                <w14:textFill>
                  <w14:solidFill>
                    <w14:schemeClr w14:val="tx1"/>
                  </w14:solidFill>
                </w14:textFill>
              </w:rPr>
              <w:t>①生活垃圾集中收集定期清运至周边村庄，依托当地生活垃圾收集处理设施处理。②废</w:t>
            </w:r>
            <w:r>
              <w:rPr>
                <w:rFonts w:hint="default" w:ascii="Times New Roman" w:hAnsi="Times New Roman" w:eastAsia="宋体" w:cs="Times New Roman"/>
                <w:color w:val="000000" w:themeColor="text1"/>
                <w:szCs w:val="21"/>
                <w:u w:val="single"/>
                <w:lang w:val="en-US" w:eastAsia="zh-CN"/>
                <w14:textFill>
                  <w14:solidFill>
                    <w14:schemeClr w14:val="tx1"/>
                  </w14:solidFill>
                </w14:textFill>
              </w:rPr>
              <w:t>铅酸蓄</w:t>
            </w:r>
            <w:r>
              <w:rPr>
                <w:rFonts w:hint="default" w:ascii="Times New Roman" w:hAnsi="Times New Roman" w:eastAsia="宋体" w:cs="Times New Roman"/>
                <w:color w:val="000000" w:themeColor="text1"/>
                <w:szCs w:val="21"/>
                <w:u w:val="single"/>
                <w:lang w:eastAsia="zh-CN"/>
                <w14:textFill>
                  <w14:solidFill>
                    <w14:schemeClr w14:val="tx1"/>
                  </w14:solidFill>
                </w14:textFill>
              </w:rPr>
              <w:t>电池集中收集后，贴好标识暂存于危险废物暂存间内，委托有资质单位定期清运处置。③</w:t>
            </w:r>
            <w:r>
              <w:rPr>
                <w:rFonts w:hint="default" w:ascii="Times New Roman" w:hAnsi="Times New Roman" w:cs="Times New Roman"/>
                <w:color w:val="000000" w:themeColor="text1"/>
                <w:szCs w:val="21"/>
                <w:u w:val="single"/>
                <w:lang w:val="en-US" w:eastAsia="zh-CN"/>
                <w14:textFill>
                  <w14:solidFill>
                    <w14:schemeClr w14:val="tx1"/>
                  </w14:solidFill>
                </w14:textFill>
              </w:rPr>
              <w:t>事故废</w:t>
            </w:r>
            <w:r>
              <w:rPr>
                <w:rFonts w:hint="default" w:ascii="Times New Roman" w:hAnsi="Times New Roman" w:eastAsia="宋体" w:cs="Times New Roman"/>
                <w:color w:val="000000" w:themeColor="text1"/>
                <w:szCs w:val="21"/>
                <w:u w:val="single"/>
                <w:lang w:eastAsia="zh-CN"/>
                <w14:textFill>
                  <w14:solidFill>
                    <w14:schemeClr w14:val="tx1"/>
                  </w14:solidFill>
                </w14:textFill>
              </w:rPr>
              <w:t>油</w:t>
            </w:r>
            <w:r>
              <w:rPr>
                <w:rFonts w:hint="default" w:ascii="Times New Roman" w:hAnsi="Times New Roman" w:cs="Times New Roman"/>
                <w:color w:val="000000" w:themeColor="text1"/>
                <w:szCs w:val="21"/>
                <w:u w:val="single"/>
                <w:lang w:eastAsia="zh-CN"/>
                <w14:textFill>
                  <w14:solidFill>
                    <w14:schemeClr w14:val="tx1"/>
                  </w14:solidFill>
                </w14:textFill>
              </w:rPr>
              <w:t>排入事故油池内</w:t>
            </w:r>
            <w:r>
              <w:rPr>
                <w:rFonts w:hint="default" w:ascii="Times New Roman" w:hAnsi="Times New Roman" w:eastAsia="宋体" w:cs="Times New Roman"/>
                <w:color w:val="000000" w:themeColor="text1"/>
                <w:szCs w:val="21"/>
                <w:u w:val="single"/>
                <w:lang w:eastAsia="zh-CN"/>
                <w14:textFill>
                  <w14:solidFill>
                    <w14:schemeClr w14:val="tx1"/>
                  </w14:solidFill>
                </w14:textFill>
              </w:rPr>
              <w:t>，委托有资质单位定期清运处置，并做好转运台账记录。</w:t>
            </w:r>
          </w:p>
        </w:tc>
        <w:tc>
          <w:tcPr>
            <w:tcW w:w="82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妥善处置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电磁环境</w:t>
            </w:r>
          </w:p>
        </w:tc>
        <w:tc>
          <w:tcPr>
            <w:tcW w:w="14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w:t>
            </w:r>
          </w:p>
        </w:tc>
        <w:tc>
          <w:tcPr>
            <w:tcW w:w="86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w:t>
            </w:r>
          </w:p>
        </w:tc>
        <w:tc>
          <w:tcPr>
            <w:tcW w:w="128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①升压站内电气设备应采取集中布置方式，保证导体和电气设备之间的电气安全距离，选用具有低辐射、抗干扰能力的设备，设置防雷接地保护装置。②合理选用各种电气设备及金属配件以减少高电位梯度点引起的放电</w:t>
            </w:r>
            <w:r>
              <w:rPr>
                <w:rFonts w:hint="default" w:ascii="Times New Roman" w:hAnsi="Times New Roman" w:cs="Times New Roman"/>
                <w:color w:val="000000" w:themeColor="text1"/>
                <w:szCs w:val="21"/>
                <w:u w:val="single"/>
                <w:lang w:eastAsia="zh-CN"/>
                <w14:textFill>
                  <w14:solidFill>
                    <w14:schemeClr w14:val="tx1"/>
                  </w14:solidFill>
                </w14:textFill>
              </w:rPr>
              <w:t>。</w:t>
            </w:r>
            <w:r>
              <w:rPr>
                <w:rFonts w:hint="default" w:ascii="Times New Roman" w:hAnsi="Times New Roman" w:cs="Times New Roman"/>
                <w:color w:val="000000" w:themeColor="text1"/>
                <w:szCs w:val="21"/>
                <w:u w:val="single"/>
                <w14:textFill>
                  <w14:solidFill>
                    <w14:schemeClr w14:val="tx1"/>
                  </w14:solidFill>
                </w14:textFill>
              </w:rPr>
              <w:t>③对大功率的电磁振荡设备采取必要的屏蔽，密封机箱的孔、口、门缝的连接处；控制箱、断路器端子箱、设备的放油阀门及分接开关尽量布置在较低场强区，以便于运行和检修人员接近。④在危险区域设立相应的警示标志，并做好警示宣传工作，醒目位置设置安全警示图文标志。</w:t>
            </w:r>
          </w:p>
        </w:tc>
        <w:tc>
          <w:tcPr>
            <w:tcW w:w="82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升压站站界电磁环境达到《电磁环境控制限值》（GB8702-2014）表1 中公众曝露限值，即频率为50Hz 时，工频电场强度≤4000V/m；工频磁感应强度≤100μT。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环境风险</w:t>
            </w:r>
          </w:p>
        </w:tc>
        <w:tc>
          <w:tcPr>
            <w:tcW w:w="14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w:t>
            </w:r>
          </w:p>
        </w:tc>
        <w:tc>
          <w:tcPr>
            <w:tcW w:w="86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w:t>
            </w:r>
          </w:p>
        </w:tc>
        <w:tc>
          <w:tcPr>
            <w:tcW w:w="128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①选用合格的电气设备、严格按操作规定进行操作、高电压处设置警示牌或围栏、配置灭火器等措施。②定期对员工进行技术及安全、环保知识培训，严格要求各岗位员工按章操作，严禁违章操作，提高员工安全、环保意识。③加强巡查工作，确保变压器不出现变压油跑、冒、滴、漏现象。④事故油池池底及四周池壁设置防渗措施。⑤危险废物暂存间严格按照《危险废物贮存污染控制标准》（GB18597-20</w:t>
            </w:r>
            <w:r>
              <w:rPr>
                <w:rFonts w:hint="default" w:ascii="Times New Roman" w:hAnsi="Times New Roman" w:cs="Times New Roman"/>
                <w:color w:val="000000" w:themeColor="text1"/>
                <w:szCs w:val="21"/>
                <w:u w:val="single"/>
                <w:lang w:val="en-US" w:eastAsia="zh-CN"/>
                <w14:textFill>
                  <w14:solidFill>
                    <w14:schemeClr w14:val="tx1"/>
                  </w14:solidFill>
                </w14:textFill>
              </w:rPr>
              <w:t>23</w:t>
            </w:r>
            <w:r>
              <w:rPr>
                <w:rFonts w:hint="default" w:ascii="Times New Roman" w:hAnsi="Times New Roman" w:cs="Times New Roman"/>
                <w:color w:val="000000" w:themeColor="text1"/>
                <w:szCs w:val="21"/>
                <w:u w:val="single"/>
                <w14:textFill>
                  <w14:solidFill>
                    <w14:schemeClr w14:val="tx1"/>
                  </w14:solidFill>
                </w14:textFill>
              </w:rPr>
              <w:t>）进行建设。</w:t>
            </w:r>
          </w:p>
        </w:tc>
        <w:tc>
          <w:tcPr>
            <w:tcW w:w="82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环境监测</w:t>
            </w:r>
          </w:p>
        </w:tc>
        <w:tc>
          <w:tcPr>
            <w:tcW w:w="1416"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w:t>
            </w:r>
          </w:p>
        </w:tc>
        <w:tc>
          <w:tcPr>
            <w:tcW w:w="863"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w:t>
            </w:r>
          </w:p>
        </w:tc>
        <w:tc>
          <w:tcPr>
            <w:tcW w:w="1282"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 w:val="21"/>
                <w:szCs w:val="21"/>
                <w:u w:val="single"/>
                <w:lang w:eastAsia="zh-CN"/>
                <w14:textFill>
                  <w14:solidFill>
                    <w14:schemeClr w14:val="tx1"/>
                  </w14:solidFill>
                </w14:textFill>
              </w:rPr>
              <w:t>详见表</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5-1</w:t>
            </w:r>
          </w:p>
        </w:tc>
        <w:tc>
          <w:tcPr>
            <w:tcW w:w="821" w:type="pct"/>
            <w:noWrap w:val="0"/>
            <w:vAlign w:val="center"/>
          </w:tcPr>
          <w:p>
            <w:pPr>
              <w:pStyle w:val="75"/>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各项指标达标排放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其他</w:t>
            </w:r>
          </w:p>
        </w:tc>
        <w:tc>
          <w:tcPr>
            <w:tcW w:w="14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w:t>
            </w:r>
          </w:p>
        </w:tc>
        <w:tc>
          <w:tcPr>
            <w:tcW w:w="86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w:t>
            </w:r>
          </w:p>
        </w:tc>
        <w:tc>
          <w:tcPr>
            <w:tcW w:w="1282"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u w:val="singl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highlight w:val="none"/>
                <w:u w:val="single"/>
                <w:shd w:val="clear" w:color="auto" w:fill="auto"/>
                <w:lang w:val="en-US" w:eastAsia="zh-CN"/>
                <w14:textFill>
                  <w14:solidFill>
                    <w14:schemeClr w14:val="tx1"/>
                  </w14:solidFill>
                </w14:textFill>
              </w:rPr>
              <w:t>-</w:t>
            </w:r>
          </w:p>
        </w:tc>
        <w:tc>
          <w:tcPr>
            <w:tcW w:w="82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u w:val="single"/>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w:t>
            </w:r>
          </w:p>
        </w:tc>
      </w:tr>
    </w:tbl>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eastAsia="黑体" w:cs="Times New Roman"/>
          <w:snapToGrid w:val="0"/>
          <w:color w:val="000000" w:themeColor="text1"/>
          <w:sz w:val="30"/>
          <w:szCs w:val="30"/>
          <w14:textFill>
            <w14:solidFill>
              <w14:schemeClr w14:val="tx1"/>
            </w14:solidFill>
          </w14:textFill>
        </w:rPr>
        <w:sectPr>
          <w:pgSz w:w="11906" w:h="16838"/>
          <w:pgMar w:top="1440" w:right="1587" w:bottom="1440" w:left="1587" w:header="851" w:footer="1077" w:gutter="0"/>
          <w:pgNumType w:fmt="decimal"/>
          <w:cols w:space="720" w:num="1"/>
          <w:docGrid w:linePitch="312" w:charSpace="0"/>
        </w:sectPr>
      </w:pP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bookmarkStart w:id="48" w:name="_Toc20267"/>
      <w:r>
        <w:rPr>
          <w:rFonts w:hint="default" w:ascii="Times New Roman" w:hAnsi="Times New Roman" w:eastAsia="黑体" w:cs="Times New Roman"/>
          <w:snapToGrid w:val="0"/>
          <w:color w:val="000000" w:themeColor="text1"/>
          <w:sz w:val="30"/>
          <w:szCs w:val="30"/>
          <w14:textFill>
            <w14:solidFill>
              <w14:schemeClr w14:val="tx1"/>
            </w14:solidFill>
          </w14:textFill>
        </w:rPr>
        <w:t>七、结论</w:t>
      </w:r>
      <w:bookmarkEnd w:id="48"/>
    </w:p>
    <w:tbl>
      <w:tblPr>
        <w:tblStyle w:val="22"/>
        <w:tblW w:w="93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329" w:hRule="atLeast"/>
          <w:jc w:val="center"/>
        </w:trPr>
        <w:tc>
          <w:tcPr>
            <w:tcW w:w="93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本项目属于</w:t>
            </w:r>
            <w:r>
              <w:rPr>
                <w:rFonts w:hint="default" w:ascii="Times New Roman" w:hAnsi="Times New Roman" w:eastAsia="宋体" w:cs="Times New Roman"/>
                <w:color w:val="000000" w:themeColor="text1"/>
                <w:sz w:val="24"/>
                <w:szCs w:val="24"/>
                <w14:textFill>
                  <w14:solidFill>
                    <w14:schemeClr w14:val="tx1"/>
                  </w14:solidFill>
                </w14:textFill>
              </w:rPr>
              <w:t>电网改造与建设项目</w:t>
            </w:r>
            <w:r>
              <w:rPr>
                <w:rFonts w:hint="default" w:ascii="Times New Roman" w:hAnsi="Times New Roman" w:cs="Times New Roman"/>
                <w:color w:val="000000" w:themeColor="text1"/>
                <w:sz w:val="24"/>
                <w:szCs w:val="24"/>
                <w14:textFill>
                  <w14:solidFill>
                    <w14:schemeClr w14:val="tx1"/>
                  </w14:solidFill>
                </w14:textFill>
              </w:rPr>
              <w:t>，项目建设符合国家产业政策要求，项目用地不涉及生态保护红线、基本农田、公益林、水源地、风景名胜区等环境敏感区，无重大环境制约因素，项目选址合理；项目在施工期和运营期严格落实本环评提出的各项生态保护和污染防治措施后，项目施工期和运营期产生的环境影响满足相应的环境保护要求，对项目区域生态环境、大气环境、水环境、声环境、电磁环境等影响较小，不会改变项目所在区域环境功能现状。综上所述，从环境保护角度分析，本项目的建设是可行的。</w:t>
            </w:r>
          </w:p>
        </w:tc>
      </w:tr>
    </w:tbl>
    <w:p>
      <w:pPr>
        <w:pStyle w:val="6"/>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outlineLvl w:val="9"/>
        <w:rPr>
          <w:rFonts w:hint="default" w:ascii="Times New Roman" w:hAnsi="Times New Roman" w:cs="Times New Roman"/>
          <w:b/>
          <w:color w:val="000000" w:themeColor="text1"/>
          <w:sz w:val="24"/>
          <w14:textFill>
            <w14:solidFill>
              <w14:schemeClr w14:val="tx1"/>
            </w14:solidFill>
          </w14:textFill>
        </w:rPr>
        <w:sectPr>
          <w:pgSz w:w="11906" w:h="16838"/>
          <w:pgMar w:top="1440" w:right="1587" w:bottom="1440" w:left="1587" w:header="851" w:footer="1077" w:gutter="0"/>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default" w:ascii="Times New Roman" w:hAnsi="Times New Roman" w:eastAsia="宋体" w:cs="Times New Roman"/>
          <w:b/>
          <w:bCs/>
          <w:color w:val="000000" w:themeColor="text1"/>
          <w:sz w:val="32"/>
          <w:szCs w:val="32"/>
          <w14:textFill>
            <w14:solidFill>
              <w14:schemeClr w14:val="tx1"/>
            </w14:solidFill>
          </w14:textFill>
        </w:rPr>
      </w:pPr>
      <w:bookmarkStart w:id="49" w:name="_Toc15758"/>
      <w:r>
        <w:rPr>
          <w:rFonts w:hint="default" w:ascii="Times New Roman" w:hAnsi="Times New Roman" w:eastAsia="宋体" w:cs="Times New Roman"/>
          <w:b/>
          <w:bCs/>
          <w:color w:val="000000" w:themeColor="text1"/>
          <w:sz w:val="32"/>
          <w:szCs w:val="32"/>
          <w14:textFill>
            <w14:solidFill>
              <w14:schemeClr w14:val="tx1"/>
            </w14:solidFill>
          </w14:textFill>
        </w:rPr>
        <w:t>电磁环境影响专题评价</w:t>
      </w:r>
      <w:bookmarkEnd w:id="49"/>
    </w:p>
    <w:p>
      <w:pPr>
        <w:pStyle w:val="3"/>
        <w:bidi w:val="0"/>
        <w:rPr>
          <w:rFonts w:hint="default" w:ascii="Times New Roman" w:hAnsi="Times New Roman" w:eastAsia="宋体" w:cs="Times New Roman"/>
          <w:color w:val="000000" w:themeColor="text1"/>
          <w:lang w:val="en-US" w:eastAsia="zh-CN"/>
          <w14:textFill>
            <w14:solidFill>
              <w14:schemeClr w14:val="tx1"/>
            </w14:solidFill>
          </w14:textFill>
        </w:rPr>
      </w:pPr>
      <w:bookmarkStart w:id="50" w:name="_Toc26772"/>
      <w:bookmarkStart w:id="51" w:name="_Toc20625"/>
      <w:bookmarkStart w:id="52" w:name="_Toc30651"/>
      <w:r>
        <w:rPr>
          <w:rFonts w:hint="default" w:ascii="Times New Roman" w:hAnsi="Times New Roman" w:eastAsia="宋体" w:cs="Times New Roman"/>
          <w:color w:val="000000" w:themeColor="text1"/>
          <w:lang w:val="en-US" w:eastAsia="zh-CN"/>
          <w14:textFill>
            <w14:solidFill>
              <w14:schemeClr w14:val="tx1"/>
            </w14:solidFill>
          </w14:textFill>
        </w:rPr>
        <w:t>1前言</w:t>
      </w:r>
      <w:bookmarkEnd w:id="50"/>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国能邵阳县新能源有限公司拟在邵阳县郦家坪镇建设</w:t>
      </w:r>
      <w:r>
        <w:rPr>
          <w:rFonts w:hint="default" w:ascii="Times New Roman" w:hAnsi="Times New Roman" w:eastAsia="宋体" w:cs="Times New Roman"/>
          <w:color w:val="000000" w:themeColor="text1"/>
          <w:sz w:val="24"/>
          <w:szCs w:val="24"/>
          <w14:textFill>
            <w14:solidFill>
              <w14:schemeClr w14:val="tx1"/>
            </w14:solidFill>
          </w14:textFill>
        </w:rPr>
        <w:t>邵阳县郦家坪光伏发电项目</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，项目总占地面积</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266.48</w:t>
      </w:r>
      <w:r>
        <w:rPr>
          <w:rFonts w:hint="eastAsia" w:cs="Times New Roman"/>
          <w:color w:val="000000" w:themeColor="text1"/>
          <w:kern w:val="2"/>
          <w:sz w:val="24"/>
          <w:szCs w:val="24"/>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hm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，规划直流侧装机</w:t>
      </w:r>
      <w:r>
        <w:rPr>
          <w:rFonts w:hint="default" w:ascii="Times New Roman" w:hAnsi="Times New Roman" w:cs="Times New Roman"/>
          <w:b w:val="0"/>
          <w:bCs w:val="0"/>
          <w:color w:val="000000" w:themeColor="text1"/>
          <w:sz w:val="24"/>
          <w:lang w:val="en-US" w:eastAsia="zh-CN"/>
          <w14:textFill>
            <w14:solidFill>
              <w14:schemeClr w14:val="tx1"/>
            </w14:solidFill>
          </w14:textFill>
        </w:rPr>
        <w:t>186.675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MWp，交流侧装机容量为150MWp，工程在场区内新建设110kV 升压站1座，</w:t>
      </w:r>
      <w:r>
        <w:rPr>
          <w:rFonts w:hint="default" w:ascii="Times New Roman" w:hAnsi="Times New Roman" w:cs="Times New Roman"/>
          <w:b w:val="0"/>
          <w:bCs w:val="0"/>
          <w:color w:val="000000" w:themeColor="text1"/>
          <w:sz w:val="24"/>
          <w:lang w:val="en-US" w:eastAsia="zh-CN"/>
          <w14:textFill>
            <w14:solidFill>
              <w14:schemeClr w14:val="tx1"/>
            </w14:solidFill>
          </w14:textFill>
        </w:rPr>
        <w:t>光伏电站的电能通过6 回35kV 集电线路电缆汇集至场区新建的110kV 升压站。升压站安装1台容量为150MVA有载调压升压变压器。升压站拟以1回110kV架空线就近接入檀江220kV变电站，最终的接入系统方案以电网主管部门审查通过的接入系统报告及接入系统批复文件为准</w:t>
      </w:r>
      <w:r>
        <w:rPr>
          <w:rFonts w:hint="default" w:ascii="Times New Roman" w:hAnsi="Times New Roman" w:eastAsia="宋体" w:cs="Times New Roman"/>
          <w:color w:val="000000" w:themeColor="text1"/>
          <w:sz w:val="24"/>
          <w:szCs w:val="24"/>
          <w14:textFill>
            <w14:solidFill>
              <w14:schemeClr w14:val="tx1"/>
            </w14:solidFill>
          </w14:textFill>
        </w:rPr>
        <w:t>（输电线路的环评由建设单位另行评价、不在本次环评评价范围内</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cs="Times New Roman"/>
          <w:b w:val="0"/>
          <w:bCs w:val="0"/>
          <w:color w:val="000000" w:themeColor="text1"/>
          <w:sz w:val="24"/>
          <w:lang w:val="en-US" w:eastAsia="zh-CN"/>
          <w14:textFill>
            <w14:solidFill>
              <w14:schemeClr w14:val="tx1"/>
            </w14:solidFill>
          </w14:textFill>
        </w:rPr>
        <w:t>。</w:t>
      </w:r>
    </w:p>
    <w:p>
      <w:pPr>
        <w:pStyle w:val="3"/>
        <w:bidi w:val="0"/>
        <w:rPr>
          <w:rFonts w:hint="default" w:ascii="Times New Roman" w:hAnsi="Times New Roman" w:eastAsia="宋体" w:cs="Times New Roman"/>
          <w:color w:val="000000" w:themeColor="text1"/>
          <w:lang w:val="en-US" w:eastAsia="zh-CN"/>
          <w14:textFill>
            <w14:solidFill>
              <w14:schemeClr w14:val="tx1"/>
            </w14:solidFill>
          </w14:textFill>
        </w:rPr>
      </w:pPr>
      <w:bookmarkStart w:id="53" w:name="_Toc24995"/>
      <w:r>
        <w:rPr>
          <w:rFonts w:hint="default" w:ascii="Times New Roman" w:hAnsi="Times New Roman" w:eastAsia="宋体" w:cs="Times New Roman"/>
          <w:color w:val="000000" w:themeColor="text1"/>
          <w:lang w:val="en-US" w:eastAsia="zh-CN"/>
          <w14:textFill>
            <w14:solidFill>
              <w14:schemeClr w14:val="tx1"/>
            </w14:solidFill>
          </w14:textFill>
        </w:rPr>
        <w:t>2总则</w:t>
      </w:r>
      <w:bookmarkEnd w:id="51"/>
      <w:bookmarkEnd w:id="52"/>
      <w:bookmarkEnd w:id="53"/>
    </w:p>
    <w:p>
      <w:pPr>
        <w:pStyle w:val="4"/>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16"/>
          <w:lang w:val="en-US" w:eastAsia="zh-CN"/>
          <w14:textFill>
            <w14:solidFill>
              <w14:schemeClr w14:val="tx1"/>
            </w14:solidFill>
          </w14:textFill>
        </w:rPr>
      </w:pPr>
      <w:bookmarkStart w:id="54" w:name="_Toc12801"/>
      <w:r>
        <w:rPr>
          <w:rFonts w:hint="default" w:ascii="Times New Roman" w:hAnsi="Times New Roman" w:eastAsia="宋体" w:cs="Times New Roman"/>
          <w:color w:val="000000" w:themeColor="text1"/>
          <w:sz w:val="24"/>
          <w:szCs w:val="16"/>
          <w:lang w:val="en-US" w:eastAsia="zh-CN"/>
          <w14:textFill>
            <w14:solidFill>
              <w14:schemeClr w14:val="tx1"/>
            </w14:solidFill>
          </w14:textFill>
        </w:rPr>
        <w:t>2.</w:t>
      </w:r>
      <w:r>
        <w:rPr>
          <w:rFonts w:hint="eastAsia" w:cs="Times New Roman"/>
          <w:color w:val="000000" w:themeColor="text1"/>
          <w:sz w:val="24"/>
          <w:szCs w:val="16"/>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16"/>
          <w:lang w:val="en-US" w:eastAsia="zh-CN"/>
          <w14:textFill>
            <w14:solidFill>
              <w14:schemeClr w14:val="tx1"/>
            </w14:solidFill>
          </w14:textFill>
        </w:rPr>
        <w:t>评价因子</w:t>
      </w:r>
      <w:bookmarkEnd w:id="54"/>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根据《环境影响评价技术导则 输变电》（HJ24-</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2020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）表1，确定本项目电磁环境影响评价因子为工频电场、工频磁场。</w:t>
      </w:r>
    </w:p>
    <w:p>
      <w:pPr>
        <w:pStyle w:val="4"/>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16"/>
          <w:lang w:val="en-US" w:eastAsia="zh-CN"/>
          <w14:textFill>
            <w14:solidFill>
              <w14:schemeClr w14:val="tx1"/>
            </w14:solidFill>
          </w14:textFill>
        </w:rPr>
      </w:pPr>
      <w:bookmarkStart w:id="55" w:name="_Toc20599"/>
      <w:r>
        <w:rPr>
          <w:rFonts w:hint="default" w:ascii="Times New Roman" w:hAnsi="Times New Roman" w:eastAsia="宋体" w:cs="Times New Roman"/>
          <w:color w:val="000000" w:themeColor="text1"/>
          <w:sz w:val="24"/>
          <w:szCs w:val="16"/>
          <w:lang w:val="en-US" w:eastAsia="zh-CN"/>
          <w14:textFill>
            <w14:solidFill>
              <w14:schemeClr w14:val="tx1"/>
            </w14:solidFill>
          </w14:textFill>
        </w:rPr>
        <w:t>2.</w:t>
      </w:r>
      <w:r>
        <w:rPr>
          <w:rFonts w:hint="eastAsia" w:cs="Times New Roman"/>
          <w:color w:val="000000" w:themeColor="text1"/>
          <w:sz w:val="24"/>
          <w:szCs w:val="16"/>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16"/>
          <w:lang w:val="en-US" w:eastAsia="zh-CN"/>
          <w14:textFill>
            <w14:solidFill>
              <w14:schemeClr w14:val="tx1"/>
            </w14:solidFill>
          </w14:textFill>
        </w:rPr>
        <w:t>评价等级</w:t>
      </w:r>
      <w:bookmarkEnd w:id="55"/>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根据《环境影响评价技术导则 输变电》（HJ24-20</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20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）表2，本工程中升压站电压等级为110kV，工程为户外式，电磁环评影响评价等级为应为二级。本次评价不含输电线路工程。</w:t>
      </w:r>
    </w:p>
    <w:p>
      <w:pPr>
        <w:pStyle w:val="4"/>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16"/>
          <w:lang w:val="en-US" w:eastAsia="zh-CN"/>
          <w14:textFill>
            <w14:solidFill>
              <w14:schemeClr w14:val="tx1"/>
            </w14:solidFill>
          </w14:textFill>
        </w:rPr>
      </w:pPr>
      <w:bookmarkStart w:id="56" w:name="_Toc16343"/>
      <w:r>
        <w:rPr>
          <w:rFonts w:hint="default" w:ascii="Times New Roman" w:hAnsi="Times New Roman" w:eastAsia="宋体" w:cs="Times New Roman"/>
          <w:color w:val="000000" w:themeColor="text1"/>
          <w:sz w:val="24"/>
          <w:szCs w:val="16"/>
          <w:lang w:val="en-US" w:eastAsia="zh-CN"/>
          <w14:textFill>
            <w14:solidFill>
              <w14:schemeClr w14:val="tx1"/>
            </w14:solidFill>
          </w14:textFill>
        </w:rPr>
        <w:t>2.</w:t>
      </w:r>
      <w:r>
        <w:rPr>
          <w:rFonts w:hint="eastAsia" w:cs="Times New Roman"/>
          <w:color w:val="000000" w:themeColor="text1"/>
          <w:sz w:val="24"/>
          <w:szCs w:val="16"/>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16"/>
          <w:lang w:val="en-US" w:eastAsia="zh-CN"/>
          <w14:textFill>
            <w14:solidFill>
              <w14:schemeClr w14:val="tx1"/>
            </w14:solidFill>
          </w14:textFill>
        </w:rPr>
        <w:t>评价范围</w:t>
      </w:r>
      <w:bookmarkEnd w:id="56"/>
    </w:p>
    <w:p>
      <w:pPr>
        <w:widowControl w:val="0"/>
        <w:spacing w:after="120" w:line="360" w:lineRule="auto"/>
        <w:ind w:firstLine="480" w:firstLineChars="20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根据《环境影响评价技术导则</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输变电》（HJ24-20</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20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）表3，110kV变电站工程评价范围：站界外30m范围区域内。</w:t>
      </w:r>
    </w:p>
    <w:p>
      <w:pPr>
        <w:pStyle w:val="4"/>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16"/>
          <w:lang w:val="en-US" w:eastAsia="zh-CN"/>
          <w14:textFill>
            <w14:solidFill>
              <w14:schemeClr w14:val="tx1"/>
            </w14:solidFill>
          </w14:textFill>
        </w:rPr>
      </w:pPr>
      <w:bookmarkStart w:id="57" w:name="_Toc25890"/>
      <w:r>
        <w:rPr>
          <w:rFonts w:hint="default" w:ascii="Times New Roman" w:hAnsi="Times New Roman" w:eastAsia="宋体" w:cs="Times New Roman"/>
          <w:color w:val="000000" w:themeColor="text1"/>
          <w:sz w:val="24"/>
          <w:szCs w:val="16"/>
          <w:lang w:val="en-US" w:eastAsia="zh-CN"/>
          <w14:textFill>
            <w14:solidFill>
              <w14:schemeClr w14:val="tx1"/>
            </w14:solidFill>
          </w14:textFill>
        </w:rPr>
        <w:t>2.</w:t>
      </w:r>
      <w:r>
        <w:rPr>
          <w:rFonts w:hint="eastAsia" w:cs="Times New Roman"/>
          <w:color w:val="000000" w:themeColor="text1"/>
          <w:sz w:val="24"/>
          <w:szCs w:val="16"/>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16"/>
          <w:lang w:val="en-US" w:eastAsia="zh-CN"/>
          <w14:textFill>
            <w14:solidFill>
              <w14:schemeClr w14:val="tx1"/>
            </w14:solidFill>
          </w14:textFill>
        </w:rPr>
        <w:t>评价标准</w:t>
      </w:r>
      <w:bookmarkEnd w:id="57"/>
    </w:p>
    <w:p>
      <w:pPr>
        <w:widowControl w:val="0"/>
        <w:spacing w:after="120" w:line="360" w:lineRule="auto"/>
        <w:ind w:firstLine="480" w:firstLineChars="20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电磁环境执行《电磁环境控制限值》（GB8702－2014）表1中公众曝露控制限值：工频电场4000V/m、工频磁场100μT。</w:t>
      </w:r>
    </w:p>
    <w:p>
      <w:pPr>
        <w:pStyle w:val="4"/>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16"/>
          <w:lang w:val="en-US" w:eastAsia="zh-CN"/>
          <w14:textFill>
            <w14:solidFill>
              <w14:schemeClr w14:val="tx1"/>
            </w14:solidFill>
          </w14:textFill>
        </w:rPr>
      </w:pPr>
      <w:bookmarkStart w:id="58" w:name="_Toc24556"/>
      <w:r>
        <w:rPr>
          <w:rFonts w:hint="default" w:ascii="Times New Roman" w:hAnsi="Times New Roman" w:eastAsia="宋体" w:cs="Times New Roman"/>
          <w:color w:val="000000" w:themeColor="text1"/>
          <w:sz w:val="24"/>
          <w:szCs w:val="16"/>
          <w:lang w:val="en-US" w:eastAsia="zh-CN"/>
          <w14:textFill>
            <w14:solidFill>
              <w14:schemeClr w14:val="tx1"/>
            </w14:solidFill>
          </w14:textFill>
        </w:rPr>
        <w:t>2.</w:t>
      </w:r>
      <w:r>
        <w:rPr>
          <w:rFonts w:hint="eastAsia" w:cs="Times New Roman"/>
          <w:color w:val="000000" w:themeColor="text1"/>
          <w:sz w:val="24"/>
          <w:szCs w:val="16"/>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16"/>
          <w:lang w:val="en-US" w:eastAsia="zh-CN"/>
          <w14:textFill>
            <w14:solidFill>
              <w14:schemeClr w14:val="tx1"/>
            </w14:solidFill>
          </w14:textFill>
        </w:rPr>
        <w:t>环境敏感目标</w:t>
      </w:r>
      <w:bookmarkEnd w:id="58"/>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w:t>
      </w:r>
      <w:r>
        <w:rPr>
          <w:rFonts w:hint="eastAsia" w:cs="Times New Roman"/>
          <w:color w:val="000000" w:themeColor="text1"/>
          <w:kern w:val="2"/>
          <w:sz w:val="24"/>
          <w:szCs w:val="24"/>
          <w:lang w:val="en-US" w:eastAsia="zh-CN" w:bidi="ar-SA"/>
          <w14:textFill>
            <w14:solidFill>
              <w14:schemeClr w14:val="tx1"/>
            </w14:solidFill>
          </w14:textFill>
        </w:rPr>
        <w:t>项目</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评价范围内无电磁环境敏感目标。</w:t>
      </w:r>
    </w:p>
    <w:p>
      <w:pPr>
        <w:pStyle w:val="3"/>
        <w:bidi w:val="0"/>
        <w:rPr>
          <w:rFonts w:hint="default" w:ascii="Times New Roman" w:hAnsi="Times New Roman" w:eastAsia="宋体" w:cs="Times New Roman"/>
          <w:color w:val="000000" w:themeColor="text1"/>
          <w:lang w:val="en-US" w:eastAsia="zh-CN"/>
          <w14:textFill>
            <w14:solidFill>
              <w14:schemeClr w14:val="tx1"/>
            </w14:solidFill>
          </w14:textFill>
        </w:rPr>
      </w:pPr>
      <w:bookmarkStart w:id="59" w:name="_Toc8381"/>
      <w:bookmarkStart w:id="60" w:name="_Toc8056"/>
      <w:bookmarkStart w:id="61" w:name="_Toc27949"/>
      <w:r>
        <w:rPr>
          <w:rFonts w:hint="default" w:ascii="Times New Roman" w:hAnsi="Times New Roman" w:eastAsia="宋体" w:cs="Times New Roman"/>
          <w:color w:val="000000" w:themeColor="text1"/>
          <w:lang w:val="en-US" w:eastAsia="zh-CN"/>
          <w14:textFill>
            <w14:solidFill>
              <w14:schemeClr w14:val="tx1"/>
            </w14:solidFill>
          </w14:textFill>
        </w:rPr>
        <w:t>3电磁环境质量现状监测与评价</w:t>
      </w:r>
      <w:bookmarkEnd w:id="59"/>
      <w:bookmarkEnd w:id="60"/>
      <w:bookmarkEnd w:id="61"/>
    </w:p>
    <w:p>
      <w:pPr>
        <w:pStyle w:val="4"/>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16"/>
          <w:lang w:val="en-US" w:eastAsia="zh-CN"/>
          <w14:textFill>
            <w14:solidFill>
              <w14:schemeClr w14:val="tx1"/>
            </w14:solidFill>
          </w14:textFill>
        </w:rPr>
      </w:pPr>
      <w:bookmarkStart w:id="62" w:name="_Toc14121"/>
      <w:r>
        <w:rPr>
          <w:rFonts w:hint="default" w:ascii="Times New Roman" w:hAnsi="Times New Roman" w:eastAsia="宋体" w:cs="Times New Roman"/>
          <w:color w:val="000000" w:themeColor="text1"/>
          <w:sz w:val="24"/>
          <w:szCs w:val="16"/>
          <w:lang w:val="en-US" w:eastAsia="zh-CN"/>
          <w14:textFill>
            <w14:solidFill>
              <w14:schemeClr w14:val="tx1"/>
            </w14:solidFill>
          </w14:textFill>
        </w:rPr>
        <w:t>3.1电磁环境质量现状监测</w:t>
      </w:r>
      <w:bookmarkEnd w:id="62"/>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结合现场踏勘情况，在拟新建的110kV升压站站址中心及围墙四周各布设1个测点，共5个监测点位。</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1、监测时间、监测频次、监测环境和监测单位</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监测时间：202</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年</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月</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日。</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监测频次：晴好天气下，白天监测一次。</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监测环境：</w:t>
      </w:r>
      <w:r>
        <w:rPr>
          <w:rFonts w:hint="eastAsia" w:cs="Times New Roman"/>
          <w:color w:val="000000" w:themeColor="text1"/>
          <w:kern w:val="2"/>
          <w:sz w:val="24"/>
          <w:szCs w:val="24"/>
          <w:lang w:val="en-US" w:eastAsia="zh-CN" w:bidi="ar-SA"/>
          <w14:textFill>
            <w14:solidFill>
              <w14:schemeClr w14:val="tx1"/>
            </w14:solidFill>
          </w14:textFill>
        </w:rPr>
        <w:t>天气阴，风向北，风俗1.4m/s，温度7.4</w:t>
      </w:r>
      <w:r>
        <w:rPr>
          <w:rFonts w:hint="eastAsia" w:ascii="宋体" w:hAnsi="宋体" w:eastAsia="宋体" w:cs="宋体"/>
          <w:color w:val="000000" w:themeColor="text1"/>
          <w:kern w:val="2"/>
          <w:sz w:val="24"/>
          <w:szCs w:val="24"/>
          <w:lang w:val="en-US" w:eastAsia="zh-CN" w:bidi="ar-SA"/>
          <w14:textFill>
            <w14:solidFill>
              <w14:schemeClr w14:val="tx1"/>
            </w14:solidFill>
          </w14:textFill>
        </w:rPr>
        <w:t>℃</w:t>
      </w:r>
      <w:r>
        <w:rPr>
          <w:rFonts w:hint="eastAsia" w:cs="Times New Roman"/>
          <w:color w:val="000000" w:themeColor="text1"/>
          <w:kern w:val="2"/>
          <w:sz w:val="24"/>
          <w:szCs w:val="24"/>
          <w:lang w:val="en-US" w:eastAsia="zh-CN" w:bidi="ar-SA"/>
          <w14:textFill>
            <w14:solidFill>
              <w14:schemeClr w14:val="tx1"/>
            </w14:solidFill>
          </w14:textFill>
        </w:rPr>
        <w:t>，相对湿度68%。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监测单位：湖南</w:t>
      </w:r>
      <w:r>
        <w:rPr>
          <w:rFonts w:hint="default" w:ascii="Times New Roman" w:hAnsi="Times New Roman" w:cs="Times New Roman"/>
          <w:color w:val="000000" w:themeColor="text1"/>
          <w:sz w:val="24"/>
          <w:lang w:val="en-US" w:eastAsia="zh-CN"/>
          <w14:textFill>
            <w14:solidFill>
              <w14:schemeClr w14:val="tx1"/>
            </w14:solidFill>
          </w14:textFill>
        </w:rPr>
        <w:t>谱实</w:t>
      </w:r>
      <w:r>
        <w:rPr>
          <w:rFonts w:hint="default" w:ascii="Times New Roman" w:hAnsi="Times New Roman" w:eastAsia="宋体" w:cs="Times New Roman"/>
          <w:color w:val="000000" w:themeColor="text1"/>
          <w:sz w:val="24"/>
          <w:lang w:eastAsia="zh-CN"/>
          <w14:textFill>
            <w14:solidFill>
              <w14:schemeClr w14:val="tx1"/>
            </w14:solidFill>
          </w14:textFill>
        </w:rPr>
        <w:t>检测</w:t>
      </w:r>
      <w:r>
        <w:rPr>
          <w:rFonts w:hint="default" w:ascii="Times New Roman" w:hAnsi="Times New Roman" w:cs="Times New Roman"/>
          <w:color w:val="000000" w:themeColor="text1"/>
          <w:sz w:val="24"/>
          <w:lang w:val="en-US" w:eastAsia="zh-CN"/>
          <w14:textFill>
            <w14:solidFill>
              <w14:schemeClr w14:val="tx1"/>
            </w14:solidFill>
          </w14:textFill>
        </w:rPr>
        <w:t>技术</w:t>
      </w:r>
      <w:r>
        <w:rPr>
          <w:rFonts w:hint="default" w:ascii="Times New Roman" w:hAnsi="Times New Roman" w:eastAsia="宋体" w:cs="Times New Roman"/>
          <w:color w:val="000000" w:themeColor="text1"/>
          <w:sz w:val="24"/>
          <w:lang w:eastAsia="zh-CN"/>
          <w14:textFill>
            <w14:solidFill>
              <w14:schemeClr w14:val="tx1"/>
            </w14:solidFill>
          </w14:textFill>
        </w:rPr>
        <w:t>有限公司。</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2、监测方法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按《交流输变电工程电磁环境监测方法（试行）》（HJ681-2013）执行。</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3、监测仪器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电磁环境现状监测仪器见表</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eastAsia="zh-CN"/>
          <w14:textFill>
            <w14:solidFill>
              <w14:schemeClr w14:val="tx1"/>
            </w14:solidFill>
          </w14:textFill>
        </w:rPr>
        <w:t>。</w:t>
      </w:r>
    </w:p>
    <w:p>
      <w:pPr>
        <w:keepNext w:val="0"/>
        <w:keepLines w:val="0"/>
        <w:pageBreakBefore w:val="0"/>
        <w:widowControl w:val="0"/>
        <w:tabs>
          <w:tab w:val="left" w:pos="866"/>
        </w:tabs>
        <w:kinsoku w:val="0"/>
        <w:wordWrap/>
        <w:overflowPunct w:val="0"/>
        <w:topLinePunct w:val="0"/>
        <w:autoSpaceDE/>
        <w:autoSpaceDN/>
        <w:bidi w:val="0"/>
        <w:adjustRightInd/>
        <w:snapToGrid/>
        <w:spacing w:beforeLines="0" w:after="0" w:afterLines="0"/>
        <w:ind w:left="0"/>
        <w:jc w:val="center"/>
        <w:textAlignment w:val="auto"/>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表</w:t>
      </w:r>
      <w:r>
        <w:rPr>
          <w:rFonts w:hint="default" w:ascii="Times New Roman" w:hAnsi="Times New Roman" w:cs="Times New Roman"/>
          <w:b/>
          <w:color w:val="000000" w:themeColor="text1"/>
          <w:kern w:val="2"/>
          <w:sz w:val="21"/>
          <w:szCs w:val="21"/>
          <w:lang w:val="en-US" w:eastAsia="zh-CN" w:bidi="ar-SA"/>
          <w14:textFill>
            <w14:solidFill>
              <w14:schemeClr w14:val="tx1"/>
            </w14:solidFill>
          </w14:textFill>
        </w:rPr>
        <w:t>3-</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1</w:t>
      </w:r>
      <w:r>
        <w:rPr>
          <w:rFonts w:hint="default" w:ascii="Times New Roman" w:hAnsi="Times New Roman" w:cs="Times New Roman"/>
          <w:b/>
          <w:color w:val="000000" w:themeColor="text1"/>
          <w:kern w:val="2"/>
          <w:sz w:val="21"/>
          <w:szCs w:val="21"/>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电磁环境现状监测仪器</w:t>
      </w:r>
    </w:p>
    <w:tbl>
      <w:tblPr>
        <w:tblStyle w:val="22"/>
        <w:tblW w:w="4998" w:type="pct"/>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autofit"/>
        <w:tblCellMar>
          <w:top w:w="0" w:type="dxa"/>
          <w:left w:w="0" w:type="dxa"/>
          <w:bottom w:w="0" w:type="dxa"/>
          <w:right w:w="0" w:type="dxa"/>
        </w:tblCellMar>
      </w:tblPr>
      <w:tblGrid>
        <w:gridCol w:w="2475"/>
        <w:gridCol w:w="2049"/>
        <w:gridCol w:w="4234"/>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425" w:hRule="atLeast"/>
        </w:trPr>
        <w:tc>
          <w:tcPr>
            <w:tcW w:w="1413" w:type="pct"/>
            <w:tcBorders>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ind w:left="0" w:right="0"/>
              <w:jc w:val="center"/>
              <w:textAlignment w:val="auto"/>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仪器名称及编号</w:t>
            </w:r>
          </w:p>
        </w:tc>
        <w:tc>
          <w:tcPr>
            <w:tcW w:w="1169" w:type="pct"/>
            <w:tcBorders>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ind w:left="0" w:right="0"/>
              <w:jc w:val="center"/>
              <w:textAlignment w:val="auto"/>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技术指标</w:t>
            </w:r>
          </w:p>
        </w:tc>
        <w:tc>
          <w:tcPr>
            <w:tcW w:w="2416" w:type="pct"/>
            <w:tcBorders>
              <w:left w:val="single" w:color="000000" w:sz="4" w:space="0"/>
              <w:bottom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ind w:left="0" w:right="0"/>
              <w:jc w:val="center"/>
              <w:textAlignment w:val="auto"/>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监测方法</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425" w:hRule="atLeast"/>
        </w:trPr>
        <w:tc>
          <w:tcPr>
            <w:tcW w:w="1413" w:type="pct"/>
            <w:tcBorders>
              <w:top w:val="single" w:color="000000" w:sz="4" w:space="0"/>
              <w:right w:val="single" w:color="000000" w:sz="4" w:space="0"/>
            </w:tcBorders>
            <w:noWrap w:val="0"/>
            <w:vAlign w:val="center"/>
          </w:tcPr>
          <w:p>
            <w:pPr>
              <w:keepNext w:val="0"/>
              <w:keepLines w:val="0"/>
              <w:widowControl w:val="0"/>
              <w:suppressLineNumbers w:val="0"/>
              <w:kinsoku w:val="0"/>
              <w:overflowPunct w:val="0"/>
              <w:spacing w:before="89" w:beforeLines="0" w:beforeAutospacing="0" w:after="0" w:afterLines="0" w:afterAutospacing="0"/>
              <w:ind w:left="0" w:right="1"/>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工频场强仪</w:t>
            </w:r>
          </w:p>
          <w:p>
            <w:pPr>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ind w:left="0" w:right="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Times New Roman" w:cs="Times New Roman"/>
                <w:color w:val="000000" w:themeColor="text1"/>
                <w:kern w:val="2"/>
                <w:sz w:val="21"/>
                <w:szCs w:val="24"/>
                <w:lang w:val="en-US" w:eastAsia="zh-CN" w:bidi="ar-SA"/>
                <w14:textFill>
                  <w14:solidFill>
                    <w14:schemeClr w14:val="tx1"/>
                  </w14:solidFill>
                </w14:textFill>
              </w:rPr>
              <w:t>/HI3604</w:t>
            </w:r>
            <w:r>
              <w:rPr>
                <w:rFonts w:hint="default" w:ascii="Times New Roman" w:hAnsi="Times New Roman" w:eastAsia="Times New Roman" w:cs="Times New Roman"/>
                <w:color w:val="000000" w:themeColor="text1"/>
                <w:w w:val="95"/>
                <w:kern w:val="2"/>
                <w:sz w:val="21"/>
                <w:szCs w:val="24"/>
                <w:lang w:val="en-US" w:eastAsia="zh-CN" w:bidi="ar-SA"/>
                <w14:textFill>
                  <w14:solidFill>
                    <w14:schemeClr w14:val="tx1"/>
                  </w14:solidFill>
                </w14:textFill>
              </w:rPr>
              <w:t>ZCXY-CY-035</w:t>
            </w:r>
          </w:p>
        </w:tc>
        <w:tc>
          <w:tcPr>
            <w:tcW w:w="1169" w:type="pct"/>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ind w:left="0" w:right="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工频电场；</w:t>
            </w:r>
          </w:p>
          <w:p>
            <w:pPr>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ind w:left="0" w:right="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工频磁场</w:t>
            </w:r>
          </w:p>
        </w:tc>
        <w:tc>
          <w:tcPr>
            <w:tcW w:w="2416" w:type="pct"/>
            <w:tcBorders>
              <w:top w:val="single" w:color="000000" w:sz="4" w:space="0"/>
              <w:lef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ind w:left="0" w:right="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《交流输变电工程电磁环境监测方法》HJ681-2013</w:t>
            </w:r>
          </w:p>
        </w:tc>
      </w:tr>
    </w:tbl>
    <w:p>
      <w:pPr>
        <w:pStyle w:val="4"/>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16"/>
          <w:lang w:val="en-US" w:eastAsia="zh-CN"/>
          <w14:textFill>
            <w14:solidFill>
              <w14:schemeClr w14:val="tx1"/>
            </w14:solidFill>
          </w14:textFill>
        </w:rPr>
      </w:pPr>
      <w:bookmarkStart w:id="63" w:name="_Toc25592"/>
      <w:r>
        <w:rPr>
          <w:rFonts w:hint="default" w:ascii="Times New Roman" w:hAnsi="Times New Roman" w:eastAsia="宋体" w:cs="Times New Roman"/>
          <w:color w:val="000000" w:themeColor="text1"/>
          <w:sz w:val="24"/>
          <w:szCs w:val="16"/>
          <w:lang w:val="en-US" w:eastAsia="zh-CN"/>
          <w14:textFill>
            <w14:solidFill>
              <w14:schemeClr w14:val="tx1"/>
            </w14:solidFill>
          </w14:textFill>
        </w:rPr>
        <w:t>3.2监测结果与评价</w:t>
      </w:r>
      <w:bookmarkEnd w:id="6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电磁环境现状监测结果见表</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eastAsia="zh-CN"/>
          <w14:textFill>
            <w14:solidFill>
              <w14:schemeClr w14:val="tx1"/>
            </w14:solidFill>
          </w14:textFill>
        </w:rPr>
        <w:t>2。</w:t>
      </w:r>
    </w:p>
    <w:p>
      <w:pPr>
        <w:keepNext w:val="0"/>
        <w:keepLines w:val="0"/>
        <w:pageBreakBefore w:val="0"/>
        <w:widowControl w:val="0"/>
        <w:tabs>
          <w:tab w:val="left" w:pos="866"/>
        </w:tabs>
        <w:kinsoku w:val="0"/>
        <w:wordWrap/>
        <w:overflowPunct w:val="0"/>
        <w:topLinePunct w:val="0"/>
        <w:autoSpaceDE/>
        <w:autoSpaceDN/>
        <w:bidi w:val="0"/>
        <w:adjustRightInd/>
        <w:snapToGrid/>
        <w:spacing w:beforeLines="0" w:after="0" w:afterLines="0"/>
        <w:ind w:lef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表</w:t>
      </w:r>
      <w:r>
        <w:rPr>
          <w:rFonts w:hint="default" w:ascii="Times New Roman" w:hAnsi="Times New Roman" w:cs="Times New Roman"/>
          <w:b/>
          <w:color w:val="000000" w:themeColor="text1"/>
          <w:kern w:val="2"/>
          <w:sz w:val="21"/>
          <w:szCs w:val="21"/>
          <w:lang w:val="en-US" w:eastAsia="zh-CN" w:bidi="ar-SA"/>
          <w14:textFill>
            <w14:solidFill>
              <w14:schemeClr w14:val="tx1"/>
            </w14:solidFill>
          </w14:textFill>
        </w:rPr>
        <w:t>3-</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2</w:t>
      </w:r>
      <w:r>
        <w:rPr>
          <w:rFonts w:hint="default" w:ascii="Times New Roman" w:hAnsi="Times New Roman" w:cs="Times New Roman"/>
          <w:b/>
          <w:color w:val="000000" w:themeColor="text1"/>
          <w:kern w:val="2"/>
          <w:sz w:val="21"/>
          <w:szCs w:val="21"/>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电磁环境监测结果</w:t>
      </w:r>
    </w:p>
    <w:tbl>
      <w:tblPr>
        <w:tblStyle w:val="22"/>
        <w:tblW w:w="4998"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443"/>
        <w:gridCol w:w="2858"/>
        <w:gridCol w:w="2697"/>
        <w:gridCol w:w="1946"/>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6" w:type="pct"/>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1"/>
                <w14:textFill>
                  <w14:solidFill>
                    <w14:schemeClr w14:val="tx1"/>
                  </w14:solidFill>
                </w14:textFill>
              </w:rPr>
              <w:t>监测日期</w:t>
            </w:r>
          </w:p>
        </w:tc>
        <w:tc>
          <w:tcPr>
            <w:tcW w:w="1597" w:type="pct"/>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1"/>
                <w14:textFill>
                  <w14:solidFill>
                    <w14:schemeClr w14:val="tx1"/>
                  </w14:solidFill>
                </w14:textFill>
              </w:rPr>
              <w:t>监测点位</w:t>
            </w:r>
          </w:p>
        </w:tc>
        <w:tc>
          <w:tcPr>
            <w:tcW w:w="1507" w:type="pct"/>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1"/>
                <w14:textFill>
                  <w14:solidFill>
                    <w14:schemeClr w14:val="tx1"/>
                  </w14:solidFill>
                </w14:textFill>
              </w:rPr>
              <w:t>检测因子</w:t>
            </w:r>
          </w:p>
        </w:tc>
        <w:tc>
          <w:tcPr>
            <w:tcW w:w="1088" w:type="pct"/>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1"/>
                <w14:textFill>
                  <w14:solidFill>
                    <w14:schemeClr w14:val="tx1"/>
                  </w14:solidFill>
                </w14:textFill>
              </w:rPr>
              <w:t>监测结果</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6" w:type="pct"/>
            <w:vMerge w:val="restart"/>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Times New Roman" w:cs="Times New Roman"/>
                <w:color w:val="000000" w:themeColor="text1"/>
                <w:sz w:val="21"/>
                <w14:textFill>
                  <w14:solidFill>
                    <w14:schemeClr w14:val="tx1"/>
                  </w14:solidFill>
                </w14:textFill>
              </w:rPr>
              <w:t>202</w:t>
            </w:r>
            <w:r>
              <w:rPr>
                <w:rFonts w:hint="default" w:ascii="Times New Roman" w:hAnsi="Times New Roman" w:eastAsia="宋体" w:cs="Times New Roman"/>
                <w:color w:val="000000" w:themeColor="text1"/>
                <w:sz w:val="21"/>
                <w:lang w:val="en-US" w:eastAsia="zh-CN"/>
                <w14:textFill>
                  <w14:solidFill>
                    <w14:schemeClr w14:val="tx1"/>
                  </w14:solidFill>
                </w14:textFill>
              </w:rPr>
              <w:t>3.2.10</w:t>
            </w:r>
          </w:p>
        </w:tc>
        <w:tc>
          <w:tcPr>
            <w:tcW w:w="1597" w:type="pct"/>
            <w:vMerge w:val="restart"/>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1"/>
                <w14:textFill>
                  <w14:solidFill>
                    <w14:schemeClr w14:val="tx1"/>
                  </w14:solidFill>
                </w14:textFill>
              </w:rPr>
              <w:t>1#</w:t>
            </w:r>
            <w:r>
              <w:rPr>
                <w:rFonts w:hint="default" w:ascii="Times New Roman" w:hAnsi="Times New Roman" w:eastAsia="宋体" w:cs="Times New Roman"/>
                <w:color w:val="000000" w:themeColor="text1"/>
                <w:sz w:val="21"/>
                <w14:textFill>
                  <w14:solidFill>
                    <w14:schemeClr w14:val="tx1"/>
                  </w14:solidFill>
                </w14:textFill>
              </w:rPr>
              <w:t>升压站</w:t>
            </w:r>
            <w:r>
              <w:rPr>
                <w:rFonts w:hint="default" w:ascii="Times New Roman" w:hAnsi="Times New Roman" w:cs="Times New Roman"/>
                <w:color w:val="000000" w:themeColor="text1"/>
                <w:sz w:val="21"/>
                <w:lang w:val="en-US" w:eastAsia="zh-CN"/>
                <w14:textFill>
                  <w14:solidFill>
                    <w14:schemeClr w14:val="tx1"/>
                  </w14:solidFill>
                </w14:textFill>
              </w:rPr>
              <w:t>站址</w:t>
            </w:r>
            <w:r>
              <w:rPr>
                <w:rFonts w:hint="default" w:ascii="Times New Roman" w:hAnsi="Times New Roman" w:eastAsia="宋体" w:cs="Times New Roman"/>
                <w:color w:val="000000" w:themeColor="text1"/>
                <w:sz w:val="21"/>
                <w14:textFill>
                  <w14:solidFill>
                    <w14:schemeClr w14:val="tx1"/>
                  </w14:solidFill>
                </w14:textFill>
              </w:rPr>
              <w:t>位置中心</w:t>
            </w:r>
          </w:p>
        </w:tc>
        <w:tc>
          <w:tcPr>
            <w:tcW w:w="1507" w:type="pct"/>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工频电场（</w:t>
            </w:r>
            <w:r>
              <w:rPr>
                <w:rFonts w:hint="default" w:ascii="Times New Roman" w:hAnsi="Times New Roman" w:eastAsia="Times New Roman" w:cs="Times New Roman"/>
                <w:color w:val="000000" w:themeColor="text1"/>
                <w:sz w:val="21"/>
                <w14:textFill>
                  <w14:solidFill>
                    <w14:schemeClr w14:val="tx1"/>
                  </w14:solidFill>
                </w14:textFill>
              </w:rPr>
              <w:t>V/m</w:t>
            </w:r>
            <w:r>
              <w:rPr>
                <w:rFonts w:hint="default" w:ascii="Times New Roman" w:hAnsi="Times New Roman" w:eastAsia="宋体" w:cs="Times New Roman"/>
                <w:color w:val="000000" w:themeColor="text1"/>
                <w:sz w:val="21"/>
                <w14:textFill>
                  <w14:solidFill>
                    <w14:schemeClr w14:val="tx1"/>
                  </w14:solidFill>
                </w14:textFill>
              </w:rPr>
              <w:t>）</w:t>
            </w:r>
          </w:p>
        </w:tc>
        <w:tc>
          <w:tcPr>
            <w:tcW w:w="1088" w:type="pct"/>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0.342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6"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97"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07" w:type="pct"/>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工频磁场（</w:t>
            </w:r>
            <w:r>
              <w:rPr>
                <w:rFonts w:hint="default" w:ascii="Times New Roman" w:hAnsi="Times New Roman" w:eastAsia="Times New Roman" w:cs="Times New Roman"/>
                <w:color w:val="000000" w:themeColor="text1"/>
                <w:sz w:val="21"/>
                <w14:textFill>
                  <w14:solidFill>
                    <w14:schemeClr w14:val="tx1"/>
                  </w14:solidFill>
                </w14:textFill>
              </w:rPr>
              <w:t>μT</w:t>
            </w:r>
            <w:r>
              <w:rPr>
                <w:rFonts w:hint="default" w:ascii="Times New Roman" w:hAnsi="Times New Roman" w:eastAsia="宋体" w:cs="Times New Roman"/>
                <w:color w:val="000000" w:themeColor="text1"/>
                <w:sz w:val="21"/>
                <w14:textFill>
                  <w14:solidFill>
                    <w14:schemeClr w14:val="tx1"/>
                  </w14:solidFill>
                </w14:textFill>
              </w:rPr>
              <w:t>）</w:t>
            </w:r>
          </w:p>
        </w:tc>
        <w:tc>
          <w:tcPr>
            <w:tcW w:w="1088" w:type="pct"/>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0.007</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6"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p>
        </w:tc>
        <w:tc>
          <w:tcPr>
            <w:tcW w:w="1597" w:type="pct"/>
            <w:vMerge w:val="restar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z w:val="21"/>
                <w:szCs w:val="24"/>
                <w14:textFill>
                  <w14:solidFill>
                    <w14:schemeClr w14:val="tx1"/>
                  </w14:solidFill>
                </w14:textFill>
              </w:rPr>
              <w:t>升压站场界外东侧</w:t>
            </w:r>
            <w:r>
              <w:rPr>
                <w:rFonts w:hint="default" w:ascii="Times New Roman" w:hAnsi="Times New Roman" w:eastAsia="TimesNewRomanPSMT" w:cs="Times New Roman"/>
                <w:color w:val="000000" w:themeColor="text1"/>
                <w:sz w:val="21"/>
                <w:szCs w:val="24"/>
                <w14:textFill>
                  <w14:solidFill>
                    <w14:schemeClr w14:val="tx1"/>
                  </w14:solidFill>
                </w14:textFill>
              </w:rPr>
              <w:t>5m</w:t>
            </w:r>
          </w:p>
        </w:tc>
        <w:tc>
          <w:tcPr>
            <w:tcW w:w="1507"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工频电场（</w:t>
            </w:r>
            <w:r>
              <w:rPr>
                <w:rFonts w:hint="default" w:ascii="Times New Roman" w:hAnsi="Times New Roman" w:eastAsia="Times New Roman" w:cs="Times New Roman"/>
                <w:color w:val="000000" w:themeColor="text1"/>
                <w:sz w:val="21"/>
                <w:szCs w:val="21"/>
                <w14:textFill>
                  <w14:solidFill>
                    <w14:schemeClr w14:val="tx1"/>
                  </w14:solidFill>
                </w14:textFill>
              </w:rPr>
              <w:t>V/m</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88"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0.260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6"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97"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07"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工频磁场（</w:t>
            </w:r>
            <w:r>
              <w:rPr>
                <w:rFonts w:hint="default" w:ascii="Times New Roman" w:hAnsi="Times New Roman" w:eastAsia="Times New Roman" w:cs="Times New Roman"/>
                <w:color w:val="000000" w:themeColor="text1"/>
                <w:sz w:val="21"/>
                <w:szCs w:val="21"/>
                <w14:textFill>
                  <w14:solidFill>
                    <w14:schemeClr w14:val="tx1"/>
                  </w14:solidFill>
                </w14:textFill>
              </w:rPr>
              <w:t>μT</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88"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6"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97" w:type="pct"/>
            <w:vMerge w:val="restar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3#</w:t>
            </w:r>
            <w:r>
              <w:rPr>
                <w:rFonts w:hint="default" w:ascii="Times New Roman" w:hAnsi="Times New Roman" w:eastAsia="宋体" w:cs="Times New Roman"/>
                <w:color w:val="000000" w:themeColor="text1"/>
                <w:sz w:val="21"/>
                <w:szCs w:val="24"/>
                <w14:textFill>
                  <w14:solidFill>
                    <w14:schemeClr w14:val="tx1"/>
                  </w14:solidFill>
                </w14:textFill>
              </w:rPr>
              <w:t>升压站场界外</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南</w:t>
            </w:r>
            <w:r>
              <w:rPr>
                <w:rFonts w:hint="default" w:ascii="Times New Roman" w:hAnsi="Times New Roman" w:eastAsia="宋体" w:cs="Times New Roman"/>
                <w:color w:val="000000" w:themeColor="text1"/>
                <w:sz w:val="21"/>
                <w:szCs w:val="24"/>
                <w14:textFill>
                  <w14:solidFill>
                    <w14:schemeClr w14:val="tx1"/>
                  </w14:solidFill>
                </w14:textFill>
              </w:rPr>
              <w:t>侧</w:t>
            </w:r>
            <w:r>
              <w:rPr>
                <w:rFonts w:hint="default" w:ascii="Times New Roman" w:hAnsi="Times New Roman" w:eastAsia="TimesNewRomanPSMT" w:cs="Times New Roman"/>
                <w:color w:val="000000" w:themeColor="text1"/>
                <w:sz w:val="21"/>
                <w:szCs w:val="24"/>
                <w14:textFill>
                  <w14:solidFill>
                    <w14:schemeClr w14:val="tx1"/>
                  </w14:solidFill>
                </w14:textFill>
              </w:rPr>
              <w:t>5m</w:t>
            </w:r>
          </w:p>
        </w:tc>
        <w:tc>
          <w:tcPr>
            <w:tcW w:w="1507"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工频电场（</w:t>
            </w:r>
            <w:r>
              <w:rPr>
                <w:rFonts w:hint="default" w:ascii="Times New Roman" w:hAnsi="Times New Roman" w:eastAsia="Times New Roman" w:cs="Times New Roman"/>
                <w:color w:val="000000" w:themeColor="text1"/>
                <w:sz w:val="21"/>
                <w:szCs w:val="21"/>
                <w14:textFill>
                  <w14:solidFill>
                    <w14:schemeClr w14:val="tx1"/>
                  </w14:solidFill>
                </w14:textFill>
              </w:rPr>
              <w:t>V/m</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88"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0.330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6"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97"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07"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工频磁场（</w:t>
            </w:r>
            <w:r>
              <w:rPr>
                <w:rFonts w:hint="default" w:ascii="Times New Roman" w:hAnsi="Times New Roman" w:eastAsia="Times New Roman" w:cs="Times New Roman"/>
                <w:color w:val="000000" w:themeColor="text1"/>
                <w:sz w:val="21"/>
                <w:szCs w:val="21"/>
                <w14:textFill>
                  <w14:solidFill>
                    <w14:schemeClr w14:val="tx1"/>
                  </w14:solidFill>
                </w14:textFill>
              </w:rPr>
              <w:t>μT</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88"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0.006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6"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97" w:type="pct"/>
            <w:vMerge w:val="restar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4#</w:t>
            </w:r>
            <w:r>
              <w:rPr>
                <w:rFonts w:hint="default" w:ascii="Times New Roman" w:hAnsi="Times New Roman" w:eastAsia="宋体" w:cs="Times New Roman"/>
                <w:color w:val="000000" w:themeColor="text1"/>
                <w:sz w:val="21"/>
                <w:szCs w:val="24"/>
                <w14:textFill>
                  <w14:solidFill>
                    <w14:schemeClr w14:val="tx1"/>
                  </w14:solidFill>
                </w14:textFill>
              </w:rPr>
              <w:t>升压站场界外</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西</w:t>
            </w:r>
            <w:r>
              <w:rPr>
                <w:rFonts w:hint="default" w:ascii="Times New Roman" w:hAnsi="Times New Roman" w:eastAsia="宋体" w:cs="Times New Roman"/>
                <w:color w:val="000000" w:themeColor="text1"/>
                <w:sz w:val="21"/>
                <w:szCs w:val="24"/>
                <w14:textFill>
                  <w14:solidFill>
                    <w14:schemeClr w14:val="tx1"/>
                  </w14:solidFill>
                </w14:textFill>
              </w:rPr>
              <w:t>侧</w:t>
            </w:r>
            <w:r>
              <w:rPr>
                <w:rFonts w:hint="default" w:ascii="Times New Roman" w:hAnsi="Times New Roman" w:eastAsia="TimesNewRomanPSMT" w:cs="Times New Roman"/>
                <w:color w:val="000000" w:themeColor="text1"/>
                <w:sz w:val="21"/>
                <w:szCs w:val="24"/>
                <w14:textFill>
                  <w14:solidFill>
                    <w14:schemeClr w14:val="tx1"/>
                  </w14:solidFill>
                </w14:textFill>
              </w:rPr>
              <w:t>5m</w:t>
            </w:r>
          </w:p>
        </w:tc>
        <w:tc>
          <w:tcPr>
            <w:tcW w:w="1507"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工频电场（</w:t>
            </w:r>
            <w:r>
              <w:rPr>
                <w:rFonts w:hint="default" w:ascii="Times New Roman" w:hAnsi="Times New Roman" w:eastAsia="Times New Roman" w:cs="Times New Roman"/>
                <w:color w:val="000000" w:themeColor="text1"/>
                <w:sz w:val="21"/>
                <w:szCs w:val="21"/>
                <w14:textFill>
                  <w14:solidFill>
                    <w14:schemeClr w14:val="tx1"/>
                  </w14:solidFill>
                </w14:textFill>
              </w:rPr>
              <w:t>V/m</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88"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0.372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6"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97"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07"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工频磁场（</w:t>
            </w:r>
            <w:r>
              <w:rPr>
                <w:rFonts w:hint="default" w:ascii="Times New Roman" w:hAnsi="Times New Roman" w:eastAsia="Times New Roman" w:cs="Times New Roman"/>
                <w:color w:val="000000" w:themeColor="text1"/>
                <w:sz w:val="21"/>
                <w:szCs w:val="21"/>
                <w14:textFill>
                  <w14:solidFill>
                    <w14:schemeClr w14:val="tx1"/>
                  </w14:solidFill>
                </w14:textFill>
              </w:rPr>
              <w:t>μT</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88"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0.006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6" w:type="pct"/>
            <w:vMerge w:val="continue"/>
            <w:tcBorders>
              <w:tl2br w:val="nil"/>
              <w:tr2bl w:val="nil"/>
            </w:tcBorders>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97" w:type="pct"/>
            <w:vMerge w:val="restar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5#</w:t>
            </w:r>
            <w:r>
              <w:rPr>
                <w:rFonts w:hint="default" w:ascii="Times New Roman" w:hAnsi="Times New Roman" w:eastAsia="宋体" w:cs="Times New Roman"/>
                <w:color w:val="000000" w:themeColor="text1"/>
                <w:sz w:val="21"/>
                <w:szCs w:val="24"/>
                <w14:textFill>
                  <w14:solidFill>
                    <w14:schemeClr w14:val="tx1"/>
                  </w14:solidFill>
                </w14:textFill>
              </w:rPr>
              <w:t>升压站场界外</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北</w:t>
            </w:r>
            <w:r>
              <w:rPr>
                <w:rFonts w:hint="default" w:ascii="Times New Roman" w:hAnsi="Times New Roman" w:eastAsia="宋体" w:cs="Times New Roman"/>
                <w:color w:val="000000" w:themeColor="text1"/>
                <w:sz w:val="21"/>
                <w:szCs w:val="24"/>
                <w14:textFill>
                  <w14:solidFill>
                    <w14:schemeClr w14:val="tx1"/>
                  </w14:solidFill>
                </w14:textFill>
              </w:rPr>
              <w:t>侧</w:t>
            </w:r>
            <w:r>
              <w:rPr>
                <w:rFonts w:hint="default" w:ascii="Times New Roman" w:hAnsi="Times New Roman" w:eastAsia="TimesNewRomanPSMT" w:cs="Times New Roman"/>
                <w:color w:val="000000" w:themeColor="text1"/>
                <w:sz w:val="21"/>
                <w:szCs w:val="24"/>
                <w14:textFill>
                  <w14:solidFill>
                    <w14:schemeClr w14:val="tx1"/>
                  </w14:solidFill>
                </w14:textFill>
              </w:rPr>
              <w:t>5m</w:t>
            </w:r>
          </w:p>
        </w:tc>
        <w:tc>
          <w:tcPr>
            <w:tcW w:w="1507"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工频电场（</w:t>
            </w:r>
            <w:r>
              <w:rPr>
                <w:rFonts w:hint="default" w:ascii="Times New Roman" w:hAnsi="Times New Roman" w:eastAsia="Times New Roman" w:cs="Times New Roman"/>
                <w:color w:val="000000" w:themeColor="text1"/>
                <w:sz w:val="21"/>
                <w:szCs w:val="21"/>
                <w14:textFill>
                  <w14:solidFill>
                    <w14:schemeClr w14:val="tx1"/>
                  </w14:solidFill>
                </w14:textFill>
              </w:rPr>
              <w:t>V/m</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88" w:type="pct"/>
            <w:tcBorders>
              <w:tl2br w:val="nil"/>
              <w:tr2bl w:val="nil"/>
            </w:tcBorders>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0.231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6" w:type="pct"/>
            <w:vMerge w:val="continue"/>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97" w:type="pct"/>
            <w:vMerge w:val="continue"/>
            <w:noWrap w:val="0"/>
            <w:vAlign w:val="center"/>
          </w:tcPr>
          <w:p>
            <w:pPr>
              <w:pStyle w:val="53"/>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4"/>
                <w14:textFill>
                  <w14:solidFill>
                    <w14:schemeClr w14:val="tx1"/>
                  </w14:solidFill>
                </w14:textFill>
              </w:rPr>
            </w:pPr>
          </w:p>
        </w:tc>
        <w:tc>
          <w:tcPr>
            <w:tcW w:w="1507" w:type="pct"/>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工频磁场（</w:t>
            </w:r>
            <w:r>
              <w:rPr>
                <w:rFonts w:hint="default" w:ascii="Times New Roman" w:hAnsi="Times New Roman" w:eastAsia="Times New Roman" w:cs="Times New Roman"/>
                <w:color w:val="000000" w:themeColor="text1"/>
                <w:sz w:val="21"/>
                <w:szCs w:val="21"/>
                <w14:textFill>
                  <w14:solidFill>
                    <w14:schemeClr w14:val="tx1"/>
                  </w14:solidFill>
                </w14:textFill>
              </w:rPr>
              <w:t>μT</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88" w:type="pct"/>
            <w:noWrap w:val="0"/>
            <w:vAlign w:val="center"/>
          </w:tcPr>
          <w:p>
            <w:pPr>
              <w:pStyle w:val="53"/>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0.0</w:t>
            </w:r>
            <w:r>
              <w:rPr>
                <w:rFonts w:hint="default" w:ascii="Times New Roman" w:hAnsi="Times New Roman" w:cs="Times New Roman"/>
                <w:color w:val="000000" w:themeColor="text1"/>
                <w:sz w:val="21"/>
                <w:lang w:val="en-US" w:eastAsia="zh-CN"/>
                <w14:textFill>
                  <w14:solidFill>
                    <w14:schemeClr w14:val="tx1"/>
                  </w14:solidFill>
                </w14:textFill>
              </w:rPr>
              <w:t>07</w:t>
            </w:r>
          </w:p>
        </w:tc>
      </w:tr>
    </w:tbl>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根据表3-2监测结果可知，</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项目新建110kV升压站场址中心及四周</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工频电场强度在0.</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231</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V/m~0.</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372</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V/m 之间，工频磁场强度在</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0.005</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μT~0.0</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07</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μT之间</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，工频电场、工频磁场分别小于4000V/m、100μT的公众曝露控制限值。</w:t>
      </w:r>
    </w:p>
    <w:p>
      <w:pPr>
        <w:pStyle w:val="3"/>
        <w:bidi w:val="0"/>
        <w:rPr>
          <w:rFonts w:hint="default" w:ascii="Times New Roman" w:hAnsi="Times New Roman" w:eastAsia="宋体" w:cs="Times New Roman"/>
          <w:color w:val="000000" w:themeColor="text1"/>
          <w:lang w:val="en-US" w:eastAsia="zh-CN"/>
          <w14:textFill>
            <w14:solidFill>
              <w14:schemeClr w14:val="tx1"/>
            </w14:solidFill>
          </w14:textFill>
        </w:rPr>
      </w:pPr>
      <w:bookmarkStart w:id="64" w:name="_Toc2277"/>
      <w:bookmarkStart w:id="65" w:name="_Toc30225"/>
      <w:bookmarkStart w:id="66" w:name="_Toc23874"/>
      <w:r>
        <w:rPr>
          <w:rFonts w:hint="default" w:ascii="Times New Roman" w:hAnsi="Times New Roman" w:eastAsia="宋体" w:cs="Times New Roman"/>
          <w:color w:val="000000" w:themeColor="text1"/>
          <w:lang w:val="en-US" w:eastAsia="zh-CN"/>
          <w14:textFill>
            <w14:solidFill>
              <w14:schemeClr w14:val="tx1"/>
            </w14:solidFill>
          </w14:textFill>
        </w:rPr>
        <w:t>4升压站电磁环境影响预测与评价</w:t>
      </w:r>
      <w:bookmarkEnd w:id="64"/>
      <w:bookmarkEnd w:id="65"/>
      <w:bookmarkEnd w:id="66"/>
    </w:p>
    <w:p>
      <w:pPr>
        <w:pStyle w:val="4"/>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16"/>
          <w:lang w:val="en-US" w:eastAsia="zh-CN"/>
          <w14:textFill>
            <w14:solidFill>
              <w14:schemeClr w14:val="tx1"/>
            </w14:solidFill>
          </w14:textFill>
        </w:rPr>
      </w:pPr>
      <w:bookmarkStart w:id="67" w:name="_Toc17011"/>
      <w:r>
        <w:rPr>
          <w:rFonts w:hint="default" w:ascii="Times New Roman" w:hAnsi="Times New Roman" w:eastAsia="宋体" w:cs="Times New Roman"/>
          <w:color w:val="000000" w:themeColor="text1"/>
          <w:sz w:val="24"/>
          <w:szCs w:val="16"/>
          <w:lang w:val="en-US" w:eastAsia="zh-CN"/>
          <w14:textFill>
            <w14:solidFill>
              <w14:schemeClr w14:val="tx1"/>
            </w14:solidFill>
          </w14:textFill>
        </w:rPr>
        <w:t>4.1评价方法</w:t>
      </w:r>
      <w:bookmarkEnd w:id="67"/>
    </w:p>
    <w:p>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根据《环境影响评价技术导则输变电》（HJ 24-2020）中二级评价的基本要求，升压站电磁环境影响预测应采用类比监测的方式，故本项目电磁环境影响评价采用类比同类项目电磁环境监测结果进行评价。</w:t>
      </w:r>
    </w:p>
    <w:p>
      <w:pPr>
        <w:pStyle w:val="4"/>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16"/>
          <w:lang w:val="en-US" w:eastAsia="zh-CN"/>
          <w14:textFill>
            <w14:solidFill>
              <w14:schemeClr w14:val="tx1"/>
            </w14:solidFill>
          </w14:textFill>
        </w:rPr>
      </w:pPr>
      <w:bookmarkStart w:id="68" w:name="_Toc28456"/>
      <w:r>
        <w:rPr>
          <w:rFonts w:hint="default" w:ascii="Times New Roman" w:hAnsi="Times New Roman" w:eastAsia="宋体" w:cs="Times New Roman"/>
          <w:color w:val="000000" w:themeColor="text1"/>
          <w:sz w:val="24"/>
          <w:szCs w:val="16"/>
          <w:lang w:val="en-US" w:eastAsia="zh-CN"/>
          <w14:textFill>
            <w14:solidFill>
              <w14:schemeClr w14:val="tx1"/>
            </w14:solidFill>
          </w14:textFill>
        </w:rPr>
        <w:t>4.2类比对象</w:t>
      </w:r>
      <w:bookmarkEnd w:id="68"/>
    </w:p>
    <w:p>
      <w:pPr>
        <w:pStyle w:val="5"/>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4.2.1类比对象选择的原则</w:t>
      </w:r>
    </w:p>
    <w:p>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工频电场主要取决于电压等级及关心点与源的距离，并与环境湿度、植被及地理地形因子等屏蔽条件相关；工频磁场主要取决于电流及关心点与源的距离。</w:t>
      </w:r>
    </w:p>
    <w:p>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变电站电磁环境类比测量，从严格意义讲，具有相同的变电站型式、完全相同的设备型号（决定了电压等级及额定功率、额定电流等）、布置情况（决定了距离因子）和环境条件是最理想的，即：不仅有相同变电站型式、主变压器数量和容量，而且一次主接线也相同，布置情况及环境条件也相同。但是要满足这样的条件是很困难的，要解决这一实际困难，可以在关键部分相同，而达到进行类比的条件。所谓关键部分，就是主要的工频电场、工频磁场产生源。</w:t>
      </w:r>
    </w:p>
    <w:p>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根据电磁场理论：</w:t>
      </w:r>
    </w:p>
    <w:p>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（1）电荷或者带电导体周围存在着电场；有规则地运动的电荷或者流过导体的电流周围存在着磁场。亦即电压产生电场而电流则产生磁场。</w:t>
      </w:r>
    </w:p>
    <w:p>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（2）工频电场和工频磁场随距离衰减很快。</w:t>
      </w:r>
    </w:p>
    <w:p>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工频电场强度主要取决于电压等级及关心点与源的距离，并与环境湿度、植被及地理地形因子等屏蔽条件相关；工频磁场主要取决于电流及关心点与源的距离。</w:t>
      </w:r>
    </w:p>
    <w:p>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对于变电站外的工频电场，要求距离围墙最近的高压带电构架或电气设备布置一致、电压相同，此时就可以认为具有可比性；同样对于变电站外的工频磁场，也要求最近的通流导体的布置和电流相同才具有可比性。实际情况是，工频电场的类比条件相对容易实现，因为变电站主设备和母线电压是基本稳定的，不会随时间和负荷的变化而产生大的变化。但是产生工频磁场的电流却是随负荷变化而有较大的变化。</w:t>
      </w:r>
    </w:p>
    <w:p>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根据以往对诸多变电站的电磁环境的类比监测结果，变电站周围的磁感应强度远小于100μT的限值标准，而变电站围墙外进出线处的工频电场强度则有可能超过4000V/m。因此主要针对工频电场选取类比对象。</w:t>
      </w:r>
    </w:p>
    <w:p>
      <w:pPr>
        <w:pStyle w:val="5"/>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4.2.2类比对象</w:t>
      </w:r>
    </w:p>
    <w:p>
      <w:pPr>
        <w:spacing w:line="360" w:lineRule="auto"/>
        <w:ind w:firstLine="480" w:firstLineChars="200"/>
        <w:rPr>
          <w:rFonts w:hint="default" w:ascii="Times New Roman" w:hAnsi="Times New Roman" w:eastAsia="宋体" w:cs="Times New Roman"/>
          <w:color w:val="000000" w:themeColor="text1"/>
          <w:sz w:val="24"/>
          <w:u w:val="single"/>
          <w:lang w:eastAsia="zh-CN"/>
          <w14:textFill>
            <w14:solidFill>
              <w14:schemeClr w14:val="tx1"/>
            </w14:solidFill>
          </w14:textFill>
        </w:rPr>
      </w:pPr>
      <w:r>
        <w:rPr>
          <w:rFonts w:hint="default" w:ascii="Times New Roman" w:hAnsi="Times New Roman" w:eastAsia="宋体" w:cs="Times New Roman"/>
          <w:color w:val="000000" w:themeColor="text1"/>
          <w:sz w:val="24"/>
          <w:u w:val="single"/>
          <w:lang w:eastAsia="zh-CN"/>
          <w14:textFill>
            <w14:solidFill>
              <w14:schemeClr w14:val="tx1"/>
            </w14:solidFill>
          </w14:textFill>
        </w:rPr>
        <w:t>根据上述类比原则以及本工程的规模、电压等级、容量、平面布置等因素，本工程户外变电站选择长沙市水渡河110kV 变电站作为的类比对象。</w:t>
      </w:r>
    </w:p>
    <w:p>
      <w:pPr>
        <w:spacing w:line="360" w:lineRule="auto"/>
        <w:ind w:firstLine="480" w:firstLineChars="200"/>
        <w:rPr>
          <w:rFonts w:hint="default" w:ascii="Times New Roman" w:hAnsi="Times New Roman" w:eastAsia="宋体" w:cs="Times New Roman"/>
          <w:color w:val="000000" w:themeColor="text1"/>
          <w:sz w:val="24"/>
          <w:u w:val="single"/>
          <w:lang w:eastAsia="zh-CN"/>
          <w14:textFill>
            <w14:solidFill>
              <w14:schemeClr w14:val="tx1"/>
            </w14:solidFill>
          </w14:textFill>
        </w:rPr>
      </w:pPr>
      <w:r>
        <w:rPr>
          <w:rFonts w:hint="default" w:ascii="Times New Roman" w:hAnsi="Times New Roman" w:eastAsia="宋体" w:cs="Times New Roman"/>
          <w:color w:val="000000" w:themeColor="text1"/>
          <w:sz w:val="24"/>
          <w:u w:val="single"/>
          <w:lang w:eastAsia="zh-CN"/>
          <w14:textFill>
            <w14:solidFill>
              <w14:schemeClr w14:val="tx1"/>
            </w14:solidFill>
          </w14:textFill>
        </w:rPr>
        <w:t>长沙市水渡河110kV 变电站已通过竣工环保验收，目前稳定运行。</w:t>
      </w:r>
    </w:p>
    <w:p>
      <w:pPr>
        <w:spacing w:line="360" w:lineRule="auto"/>
        <w:ind w:firstLine="480" w:firstLineChars="200"/>
        <w:rPr>
          <w:rFonts w:hint="default" w:ascii="Times New Roman" w:hAnsi="Times New Roman" w:eastAsia="宋体" w:cs="Times New Roman"/>
          <w:color w:val="000000" w:themeColor="text1"/>
          <w:sz w:val="24"/>
          <w:u w:val="single"/>
          <w:lang w:eastAsia="zh-CN"/>
          <w14:textFill>
            <w14:solidFill>
              <w14:schemeClr w14:val="tx1"/>
            </w14:solidFill>
          </w14:textFill>
        </w:rPr>
      </w:pPr>
      <w:r>
        <w:rPr>
          <w:rFonts w:hint="default" w:ascii="Times New Roman" w:hAnsi="Times New Roman" w:eastAsia="宋体" w:cs="Times New Roman"/>
          <w:color w:val="000000" w:themeColor="text1"/>
          <w:sz w:val="24"/>
          <w:u w:val="single"/>
          <w:lang w:eastAsia="zh-CN"/>
          <w14:textFill>
            <w14:solidFill>
              <w14:schemeClr w14:val="tx1"/>
            </w14:solidFill>
          </w14:textFill>
        </w:rPr>
        <w:t>本项目拟建升压站与类比项目对照情况见表</w:t>
      </w:r>
      <w:r>
        <w:rPr>
          <w:rFonts w:hint="default" w:ascii="Times New Roman" w:hAnsi="Times New Roman" w:cs="Times New Roman"/>
          <w:color w:val="000000" w:themeColor="text1"/>
          <w:sz w:val="24"/>
          <w:u w:val="single"/>
          <w:lang w:val="en-US" w:eastAsia="zh-CN"/>
          <w14:textFill>
            <w14:solidFill>
              <w14:schemeClr w14:val="tx1"/>
            </w14:solidFill>
          </w14:textFill>
        </w:rPr>
        <w:t>4-1</w:t>
      </w:r>
      <w:r>
        <w:rPr>
          <w:rFonts w:hint="default" w:ascii="Times New Roman" w:hAnsi="Times New Roman" w:eastAsia="宋体" w:cs="Times New Roman"/>
          <w:color w:val="000000" w:themeColor="text1"/>
          <w:sz w:val="24"/>
          <w:u w:val="single"/>
          <w:lang w:eastAsia="zh-CN"/>
          <w14:textFill>
            <w14:solidFill>
              <w14:schemeClr w14:val="tx1"/>
            </w14:solidFill>
          </w14:textFill>
        </w:rPr>
        <w:t>。</w:t>
      </w:r>
    </w:p>
    <w:p>
      <w:pPr>
        <w:tabs>
          <w:tab w:val="left" w:pos="3431"/>
        </w:tabs>
        <w:spacing w:before="0" w:after="7" w:line="298" w:lineRule="exact"/>
        <w:ind w:right="210"/>
        <w:jc w:val="center"/>
        <w:rPr>
          <w:rFonts w:hint="default" w:ascii="Times New Roman" w:hAnsi="Times New Roman" w:eastAsia="宋体" w:cs="Times New Roman"/>
          <w:b/>
          <w:bCs/>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14:textFill>
            <w14:solidFill>
              <w14:schemeClr w14:val="tx1"/>
            </w14:solidFill>
          </w14:textFill>
        </w:rPr>
        <w:t>表</w:t>
      </w:r>
      <w:r>
        <w:rPr>
          <w:rFonts w:hint="default" w:ascii="Times New Roman" w:hAnsi="Times New Roman" w:cs="Times New Roman"/>
          <w:b/>
          <w:bCs/>
          <w:color w:val="000000" w:themeColor="text1"/>
          <w:sz w:val="21"/>
          <w:szCs w:val="21"/>
          <w:u w:val="single"/>
          <w:lang w:val="en-US" w:eastAsia="zh-CN"/>
          <w14:textFill>
            <w14:solidFill>
              <w14:schemeClr w14:val="tx1"/>
            </w14:solidFill>
          </w14:textFill>
        </w:rPr>
        <w:t xml:space="preserve">4-1  </w:t>
      </w:r>
      <w:r>
        <w:rPr>
          <w:rFonts w:hint="default" w:ascii="Times New Roman" w:hAnsi="Times New Roman" w:eastAsia="宋体" w:cs="Times New Roman"/>
          <w:b/>
          <w:bCs/>
          <w:color w:val="000000" w:themeColor="text1"/>
          <w:sz w:val="21"/>
          <w:szCs w:val="21"/>
          <w:u w:val="single"/>
          <w:lang w:val="en-US" w:eastAsia="zh-CN"/>
          <w14:textFill>
            <w14:solidFill>
              <w14:schemeClr w14:val="tx1"/>
            </w14:solidFill>
          </w14:textFill>
        </w:rPr>
        <w:t>项目升压站</w:t>
      </w:r>
      <w:r>
        <w:rPr>
          <w:rFonts w:hint="default" w:ascii="Times New Roman" w:hAnsi="Times New Roman" w:eastAsia="宋体" w:cs="Times New Roman"/>
          <w:b/>
          <w:bCs/>
          <w:color w:val="000000" w:themeColor="text1"/>
          <w:sz w:val="21"/>
          <w:szCs w:val="21"/>
          <w:u w:val="single"/>
          <w14:textFill>
            <w14:solidFill>
              <w14:schemeClr w14:val="tx1"/>
            </w14:solidFill>
          </w14:textFill>
        </w:rPr>
        <w:t>与类比</w:t>
      </w:r>
      <w:r>
        <w:rPr>
          <w:rFonts w:hint="default" w:ascii="Times New Roman" w:hAnsi="Times New Roman" w:eastAsia="宋体" w:cs="Times New Roman"/>
          <w:b/>
          <w:bCs/>
          <w:color w:val="000000" w:themeColor="text1"/>
          <w:sz w:val="21"/>
          <w:szCs w:val="21"/>
          <w:u w:val="single"/>
          <w:lang w:eastAsia="zh-CN"/>
          <w14:textFill>
            <w14:solidFill>
              <w14:schemeClr w14:val="tx1"/>
            </w14:solidFill>
          </w14:textFill>
        </w:rPr>
        <w:t>升压站</w:t>
      </w:r>
      <w:r>
        <w:rPr>
          <w:rFonts w:hint="default" w:ascii="Times New Roman" w:hAnsi="Times New Roman" w:eastAsia="宋体" w:cs="Times New Roman"/>
          <w:b/>
          <w:bCs/>
          <w:color w:val="000000" w:themeColor="text1"/>
          <w:sz w:val="21"/>
          <w:szCs w:val="21"/>
          <w:u w:val="single"/>
          <w14:textFill>
            <w14:solidFill>
              <w14:schemeClr w14:val="tx1"/>
            </w14:solidFill>
          </w14:textFill>
        </w:rPr>
        <w:t>类比条件对照一览表</w:t>
      </w:r>
    </w:p>
    <w:tbl>
      <w:tblPr>
        <w:tblStyle w:val="22"/>
        <w:tblW w:w="5016" w:type="pct"/>
        <w:jc w:val="center"/>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autofit"/>
        <w:tblCellMar>
          <w:top w:w="0" w:type="dxa"/>
          <w:left w:w="0" w:type="dxa"/>
          <w:bottom w:w="0" w:type="dxa"/>
          <w:right w:w="0" w:type="dxa"/>
        </w:tblCellMar>
      </w:tblPr>
      <w:tblGrid>
        <w:gridCol w:w="3248"/>
        <w:gridCol w:w="2771"/>
        <w:gridCol w:w="2771"/>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671" w:hRule="atLeast"/>
          <w:jc w:val="center"/>
        </w:trPr>
        <w:tc>
          <w:tcPr>
            <w:tcW w:w="1847" w:type="pct"/>
            <w:tcBorders>
              <w:right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right"/>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mc:AlternateContent>
                <mc:Choice Requires="wpg">
                  <w:drawing>
                    <wp:anchor distT="0" distB="0" distL="114300" distR="114300" simplePos="0" relativeHeight="251659264" behindDoc="1" locked="0" layoutInCell="1" allowOverlap="1">
                      <wp:simplePos x="0" y="0"/>
                      <wp:positionH relativeFrom="page">
                        <wp:posOffset>20320</wp:posOffset>
                      </wp:positionH>
                      <wp:positionV relativeFrom="paragraph">
                        <wp:posOffset>635</wp:posOffset>
                      </wp:positionV>
                      <wp:extent cx="2033905" cy="441960"/>
                      <wp:effectExtent l="1270" t="4445" r="3175" b="10795"/>
                      <wp:wrapNone/>
                      <wp:docPr id="2" name="组合 5"/>
                      <wp:cNvGraphicFramePr/>
                      <a:graphic xmlns:a="http://schemas.openxmlformats.org/drawingml/2006/main">
                        <a:graphicData uri="http://schemas.microsoft.com/office/word/2010/wordprocessingGroup">
                          <wpg:wgp>
                            <wpg:cNvGrpSpPr/>
                            <wpg:grpSpPr>
                              <a:xfrm>
                                <a:off x="0" y="0"/>
                                <a:ext cx="2033905" cy="441960"/>
                                <a:chOff x="1433" y="319"/>
                                <a:chExt cx="3241" cy="545"/>
                              </a:xfrm>
                            </wpg:grpSpPr>
                            <wps:wsp>
                              <wps:cNvPr id="1" name="任意多边形 6"/>
                              <wps:cNvSpPr/>
                              <wps:spPr>
                                <a:xfrm>
                                  <a:off x="1433" y="319"/>
                                  <a:ext cx="3241" cy="545"/>
                                </a:xfrm>
                                <a:custGeom>
                                  <a:avLst/>
                                  <a:gdLst/>
                                  <a:ahLst/>
                                  <a:cxnLst/>
                                  <a:pathLst>
                                    <a:path w="3241" h="545">
                                      <a:moveTo>
                                        <a:pt x="0" y="0"/>
                                      </a:moveTo>
                                      <a:lnTo>
                                        <a:pt x="3241" y="545"/>
                                      </a:lnTo>
                                    </a:path>
                                  </a:pathLst>
                                </a:custGeom>
                                <a:noFill/>
                                <a:ln w="6096" cap="flat" cmpd="sng">
                                  <a:solidFill>
                                    <a:srgbClr val="000000"/>
                                  </a:solidFill>
                                  <a:prstDash val="solid"/>
                                  <a:headEnd type="none" w="med" len="med"/>
                                  <a:tailEnd type="none" w="med" len="med"/>
                                </a:ln>
                              </wps:spPr>
                              <wps:bodyPr wrap="square" upright="1"/>
                            </wps:wsp>
                          </wpg:wgp>
                        </a:graphicData>
                      </a:graphic>
                    </wp:anchor>
                  </w:drawing>
                </mc:Choice>
                <mc:Fallback>
                  <w:pict>
                    <v:group id="组合 5" o:spid="_x0000_s1026" o:spt="203" style="position:absolute;left:0pt;margin-left:1.6pt;margin-top:0.05pt;height:34.8pt;width:160.15pt;mso-position-horizontal-relative:page;z-index:-251657216;mso-width-relative:page;mso-height-relative:page;" coordorigin="1433,319" coordsize="3241,545" o:gfxdata="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sh3lI1QAAAAUBAAAPAAAAAAAAAAEAIAAAACIAAABkcnMvZG93bnJldi54bWxQ&#10;SwECFAAUAAAACACHTuJAr5OVgKUCAADMBQAADgAAAAAAAAABACAAAAAkAQAAZHJzL2Uyb0RvYy54&#10;bWxQSwUGAAAAAAYABgBZAQAAOwYAAAAA&#10;">
                      <o:lock v:ext="edit" aspectratio="f"/>
                      <v:shape id="任意多边形 6" o:spid="_x0000_s1026" o:spt="100" style="position:absolute;left:1433;top:319;height:545;width:3241;" filled="f" stroked="t" coordsize="3241,545" o:gfxdata="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d+fbO5AAAA2gAA&#10;AA8AAAAAAAAAAQAgAAAAIgAAAGRycy9kb3ducmV2LnhtbFBLAQIUABQAAAAIAIdO4kAzLwWeOwAA&#10;ADkAAAAQAAAAAAAAAAEAIAAAAAgBAABkcnMvc2hhcGV4bWwueG1sUEsFBgAAAAAGAAYAWwEAALID&#10;AAAAAA==&#10;" path="m0,0l3241,545e">
                        <v:fill on="f" focussize="0,0"/>
                        <v:stroke weight="0.48pt" color="#000000" joinstyle="round"/>
                        <v:imagedata o:title=""/>
                        <o:lock v:ext="edit" aspectratio="f"/>
                      </v:shape>
                    </v:group>
                  </w:pict>
                </mc:Fallback>
              </mc:AlternateContent>
            </w:r>
            <w:r>
              <w:rPr>
                <w:rFonts w:hint="default" w:ascii="Times New Roman" w:hAnsi="Times New Roman" w:eastAsia="宋体" w:cs="Times New Roman"/>
                <w:b/>
                <w:bCs/>
                <w:color w:val="000000" w:themeColor="text1"/>
                <w:kern w:val="2"/>
                <w:sz w:val="21"/>
                <w:szCs w:val="21"/>
                <w:u w:val="single"/>
                <w:lang w:val="en-US" w:eastAsia="zh-CN" w:bidi="ar-SA"/>
                <w14:textFill>
                  <w14:solidFill>
                    <w14:schemeClr w14:val="tx1"/>
                  </w14:solidFill>
                </w14:textFill>
              </w:rPr>
              <w:t>变电站名称</w:t>
            </w:r>
          </w:p>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211" w:firstLineChars="100"/>
              <w:jc w:val="both"/>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u w:val="single"/>
                <w:lang w:val="en-US" w:eastAsia="zh-CN" w:bidi="ar-SA"/>
                <w14:textFill>
                  <w14:solidFill>
                    <w14:schemeClr w14:val="tx1"/>
                  </w14:solidFill>
                </w14:textFill>
              </w:rPr>
              <w:t>项目</w:t>
            </w:r>
          </w:p>
        </w:tc>
        <w:tc>
          <w:tcPr>
            <w:tcW w:w="1576" w:type="pct"/>
            <w:tcBorders>
              <w:left w:val="single" w:color="000000" w:sz="6" w:space="0"/>
              <w:right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u w:val="single"/>
                <w:lang w:val="en-US" w:eastAsia="zh-CN" w:bidi="ar-SA"/>
                <w14:textFill>
                  <w14:solidFill>
                    <w14:schemeClr w14:val="tx1"/>
                  </w14:solidFill>
                </w14:textFill>
              </w:rPr>
              <w:t>本项目</w:t>
            </w:r>
          </w:p>
        </w:tc>
        <w:tc>
          <w:tcPr>
            <w:tcW w:w="1576" w:type="pct"/>
            <w:tcBorders>
              <w:left w:val="single" w:color="000000" w:sz="6" w:space="0"/>
              <w:bottom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u w:val="single"/>
                <w:lang w:val="en-US" w:eastAsia="zh-CN" w:bidi="ar-SA"/>
                <w14:textFill>
                  <w14:solidFill>
                    <w14:schemeClr w14:val="tx1"/>
                  </w14:solidFill>
                </w14:textFill>
              </w:rPr>
            </w:pPr>
            <w:r>
              <w:rPr>
                <w:rFonts w:hint="eastAsia" w:cs="Times New Roman"/>
                <w:b/>
                <w:bCs/>
                <w:color w:val="000000" w:themeColor="text1"/>
                <w:kern w:val="2"/>
                <w:sz w:val="21"/>
                <w:szCs w:val="21"/>
                <w:u w:val="single"/>
                <w:lang w:val="en-US" w:eastAsia="zh-CN" w:bidi="ar-SA"/>
                <w14:textFill>
                  <w14:solidFill>
                    <w14:schemeClr w14:val="tx1"/>
                  </w14:solidFill>
                </w14:textFill>
              </w:rPr>
              <w:t>类比项目</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847" w:type="pct"/>
            <w:tcBorders>
              <w:top w:val="single" w:color="000000" w:sz="6" w:space="0"/>
              <w:bottom w:val="single" w:color="000000" w:sz="6" w:space="0"/>
              <w:right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电压等级（kV）</w:t>
            </w:r>
          </w:p>
        </w:tc>
        <w:tc>
          <w:tcPr>
            <w:tcW w:w="1576"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110</w:t>
            </w:r>
          </w:p>
        </w:tc>
        <w:tc>
          <w:tcPr>
            <w:tcW w:w="1576" w:type="pct"/>
            <w:tcBorders>
              <w:top w:val="single" w:color="000000" w:sz="6" w:space="0"/>
              <w:left w:val="single" w:color="000000" w:sz="6" w:space="0"/>
              <w:bottom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110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847" w:type="pct"/>
            <w:tcBorders>
              <w:top w:val="single" w:color="000000" w:sz="6" w:space="0"/>
              <w:bottom w:val="single" w:color="000000" w:sz="6" w:space="0"/>
              <w:right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布置形式</w:t>
            </w:r>
          </w:p>
        </w:tc>
        <w:tc>
          <w:tcPr>
            <w:tcW w:w="1576"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户外式</w:t>
            </w:r>
          </w:p>
        </w:tc>
        <w:tc>
          <w:tcPr>
            <w:tcW w:w="1576" w:type="pct"/>
            <w:tcBorders>
              <w:top w:val="single" w:color="000000" w:sz="6" w:space="0"/>
              <w:left w:val="single" w:color="000000" w:sz="6" w:space="0"/>
              <w:bottom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户外式</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847" w:type="pct"/>
            <w:tcBorders>
              <w:top w:val="single" w:color="000000" w:sz="6" w:space="0"/>
              <w:right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主变容量（MVA）</w:t>
            </w:r>
          </w:p>
        </w:tc>
        <w:tc>
          <w:tcPr>
            <w:tcW w:w="1576"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1×</w:t>
            </w:r>
            <w:r>
              <w:rPr>
                <w:rFonts w:hint="default" w:ascii="Times New Roman" w:hAnsi="Times New Roman" w:cs="Times New Roman"/>
                <w:color w:val="000000" w:themeColor="text1"/>
                <w:kern w:val="2"/>
                <w:sz w:val="21"/>
                <w:szCs w:val="21"/>
                <w:u w:val="singl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50</w:t>
            </w:r>
          </w:p>
        </w:tc>
        <w:tc>
          <w:tcPr>
            <w:tcW w:w="1576" w:type="pct"/>
            <w:tcBorders>
              <w:top w:val="single" w:color="000000" w:sz="6" w:space="0"/>
              <w:left w:val="single" w:color="000000" w:sz="6" w:space="0"/>
              <w:bottom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2×50+1×63</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847" w:type="pct"/>
            <w:tcBorders>
              <w:top w:val="single" w:color="000000" w:sz="6" w:space="0"/>
              <w:right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出线</w:t>
            </w:r>
            <w:r>
              <w:rPr>
                <w:rFonts w:hint="default" w:ascii="Times New Roman" w:hAnsi="Times New Roman" w:cs="Times New Roman"/>
                <w:color w:val="000000" w:themeColor="text1"/>
                <w:kern w:val="2"/>
                <w:sz w:val="21"/>
                <w:szCs w:val="21"/>
                <w:u w:val="single"/>
                <w:lang w:val="en-US" w:eastAsia="zh-CN" w:bidi="ar-SA"/>
                <w14:textFill>
                  <w14:solidFill>
                    <w14:schemeClr w14:val="tx1"/>
                  </w14:solidFill>
                </w14:textFill>
              </w:rPr>
              <w:t>规模</w:t>
            </w:r>
          </w:p>
        </w:tc>
        <w:tc>
          <w:tcPr>
            <w:tcW w:w="1576"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1回110kV</w:t>
            </w:r>
          </w:p>
        </w:tc>
        <w:tc>
          <w:tcPr>
            <w:tcW w:w="1576" w:type="pct"/>
            <w:tcBorders>
              <w:top w:val="single" w:color="000000" w:sz="6" w:space="0"/>
              <w:left w:val="single" w:color="000000" w:sz="6" w:space="0"/>
              <w:bottom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eastAsia" w:cs="Times New Roman"/>
                <w:color w:val="000000" w:themeColor="text1"/>
                <w:kern w:val="2"/>
                <w:sz w:val="21"/>
                <w:szCs w:val="21"/>
                <w:u w:val="single"/>
                <w:lang w:val="en-US" w:eastAsia="zh-CN" w:bidi="ar-SA"/>
                <w14:textFill>
                  <w14:solidFill>
                    <w14:schemeClr w14:val="tx1"/>
                  </w14:solidFill>
                </w14:textFill>
              </w:rPr>
              <w:t>2回</w:t>
            </w: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110kV</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jc w:val="center"/>
        </w:trPr>
        <w:tc>
          <w:tcPr>
            <w:tcW w:w="1847" w:type="pct"/>
            <w:tcBorders>
              <w:top w:val="single" w:color="000000" w:sz="6" w:space="0"/>
              <w:right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出线方式</w:t>
            </w:r>
          </w:p>
        </w:tc>
        <w:tc>
          <w:tcPr>
            <w:tcW w:w="1576"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架空出线</w:t>
            </w:r>
          </w:p>
        </w:tc>
        <w:tc>
          <w:tcPr>
            <w:tcW w:w="1576" w:type="pct"/>
            <w:tcBorders>
              <w:top w:val="single" w:color="000000" w:sz="6" w:space="0"/>
              <w:left w:val="single" w:color="000000" w:sz="6" w:space="0"/>
              <w:bottom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架空出线</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847" w:type="pct"/>
            <w:tcBorders>
              <w:top w:val="single" w:color="000000" w:sz="6" w:space="0"/>
              <w:bottom w:val="single" w:color="000000" w:sz="6" w:space="0"/>
              <w:right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u w:val="single"/>
                <w:lang w:val="en-US" w:eastAsia="zh-CN" w:bidi="ar-SA"/>
                <w14:textFill>
                  <w14:solidFill>
                    <w14:schemeClr w14:val="tx1"/>
                  </w14:solidFill>
                </w14:textFill>
              </w:rPr>
              <w:t>地形</w:t>
            </w:r>
          </w:p>
        </w:tc>
        <w:tc>
          <w:tcPr>
            <w:tcW w:w="1576"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u w:val="single"/>
                <w:lang w:val="en-US" w:eastAsia="zh-CN" w:bidi="ar-SA"/>
                <w14:textFill>
                  <w14:solidFill>
                    <w14:schemeClr w14:val="tx1"/>
                  </w14:solidFill>
                </w14:textFill>
              </w:rPr>
              <w:t>山地</w:t>
            </w:r>
          </w:p>
        </w:tc>
        <w:tc>
          <w:tcPr>
            <w:tcW w:w="1576" w:type="pct"/>
            <w:tcBorders>
              <w:top w:val="single" w:color="000000" w:sz="6" w:space="0"/>
              <w:left w:val="single" w:color="000000" w:sz="6" w:space="0"/>
              <w:bottom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u w:val="single"/>
                <w:lang w:val="en-US" w:eastAsia="zh-CN" w:bidi="ar-SA"/>
                <w14:textFill>
                  <w14:solidFill>
                    <w14:schemeClr w14:val="tx1"/>
                  </w14:solidFill>
                </w14:textFill>
              </w:rPr>
              <w:t>山地</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847" w:type="pct"/>
            <w:tcBorders>
              <w:top w:val="single" w:color="000000" w:sz="6" w:space="0"/>
              <w:right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u w:val="single"/>
                <w:lang w:val="en-US" w:eastAsia="zh-CN" w:bidi="ar-SA"/>
                <w14:textFill>
                  <w14:solidFill>
                    <w14:schemeClr w14:val="tx1"/>
                  </w14:solidFill>
                </w14:textFill>
              </w:rPr>
              <w:t>区域环境</w:t>
            </w:r>
          </w:p>
        </w:tc>
        <w:tc>
          <w:tcPr>
            <w:tcW w:w="1576" w:type="pct"/>
            <w:tcBorders>
              <w:top w:val="single" w:color="000000" w:sz="6" w:space="0"/>
              <w:left w:val="single" w:color="000000" w:sz="6" w:space="0"/>
              <w:right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u w:val="single"/>
                <w:lang w:val="en-US" w:eastAsia="zh-CN" w:bidi="ar-SA"/>
                <w14:textFill>
                  <w14:solidFill>
                    <w14:schemeClr w14:val="tx1"/>
                  </w14:solidFill>
                </w14:textFill>
              </w:rPr>
              <w:t>农村</w:t>
            </w:r>
          </w:p>
        </w:tc>
        <w:tc>
          <w:tcPr>
            <w:tcW w:w="1576" w:type="pct"/>
            <w:tcBorders>
              <w:top w:val="single" w:color="000000" w:sz="6" w:space="0"/>
              <w:left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000000" w:themeColor="text1"/>
                <w:kern w:val="2"/>
                <w:sz w:val="21"/>
                <w:szCs w:val="21"/>
                <w:u w:val="single"/>
                <w:lang w:val="en-US" w:eastAsia="zh-CN" w:bidi="ar-SA"/>
                <w14:textFill>
                  <w14:solidFill>
                    <w14:schemeClr w14:val="tx1"/>
                  </w14:solidFill>
                </w14:textFill>
              </w:rPr>
            </w:pPr>
            <w:r>
              <w:rPr>
                <w:rFonts w:hint="eastAsia" w:cs="Times New Roman"/>
                <w:color w:val="000000" w:themeColor="text1"/>
                <w:kern w:val="2"/>
                <w:sz w:val="21"/>
                <w:szCs w:val="21"/>
                <w:u w:val="single"/>
                <w:lang w:val="en-US" w:eastAsia="zh-CN" w:bidi="ar-SA"/>
                <w14:textFill>
                  <w14:solidFill>
                    <w14:schemeClr w14:val="tx1"/>
                  </w14:solidFill>
                </w14:textFill>
              </w:rPr>
              <w:t>农村</w:t>
            </w:r>
          </w:p>
        </w:tc>
      </w:tr>
    </w:tbl>
    <w:p>
      <w:pPr>
        <w:pStyle w:val="5"/>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4.2.3类比对象的可比性分析</w:t>
      </w:r>
    </w:p>
    <w:p>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000000" w:themeColor="text1"/>
          <w:sz w:val="24"/>
          <w:szCs w:val="24"/>
          <w:highlight w:val="none"/>
          <w:u w:val="singl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single"/>
          <w:lang w:val="en-US" w:eastAsia="zh-CN"/>
          <w14:textFill>
            <w14:solidFill>
              <w14:schemeClr w14:val="tx1"/>
            </w14:solidFill>
          </w14:textFill>
        </w:rPr>
        <w:t>升压站电磁环境影响的主要决定因素是电压等级、主变规模及站内布置方式。根据表4-1 对照情况可知，本项目的电压等级</w:t>
      </w:r>
      <w:r>
        <w:rPr>
          <w:rFonts w:hint="eastAsia" w:ascii="Times New Roman" w:hAnsi="Times New Roman" w:eastAsia="宋体" w:cs="Times New Roman"/>
          <w:b w:val="0"/>
          <w:bCs w:val="0"/>
          <w:color w:val="000000" w:themeColor="text1"/>
          <w:sz w:val="24"/>
          <w:szCs w:val="24"/>
          <w:highlight w:val="none"/>
          <w:u w:val="single"/>
          <w:lang w:val="en-US" w:eastAsia="zh-CN"/>
          <w14:textFill>
            <w14:solidFill>
              <w14:schemeClr w14:val="tx1"/>
            </w14:solidFill>
          </w14:textFill>
        </w:rPr>
        <w:t>、</w:t>
      </w:r>
      <w:r>
        <w:rPr>
          <w:rFonts w:hint="default" w:ascii="Times New Roman" w:hAnsi="Times New Roman" w:eastAsia="宋体" w:cs="Times New Roman"/>
          <w:color w:val="000000" w:themeColor="text1"/>
          <w:sz w:val="24"/>
          <w:u w:val="single"/>
          <w:lang w:eastAsia="zh-CN"/>
          <w14:textFill>
            <w14:solidFill>
              <w14:schemeClr w14:val="tx1"/>
            </w14:solidFill>
          </w14:textFill>
        </w:rPr>
        <w:t>布置形式及出线方式一致，类比项目主变</w:t>
      </w:r>
      <w:r>
        <w:rPr>
          <w:rFonts w:hint="eastAsia" w:ascii="Times New Roman" w:hAnsi="Times New Roman" w:eastAsia="宋体" w:cs="Times New Roman"/>
          <w:color w:val="000000" w:themeColor="text1"/>
          <w:sz w:val="24"/>
          <w:u w:val="single"/>
          <w:lang w:eastAsia="zh-CN"/>
          <w14:textFill>
            <w14:solidFill>
              <w14:schemeClr w14:val="tx1"/>
            </w14:solidFill>
          </w14:textFill>
        </w:rPr>
        <w:t>总</w:t>
      </w:r>
      <w:r>
        <w:rPr>
          <w:rFonts w:hint="default" w:ascii="Times New Roman" w:hAnsi="Times New Roman" w:eastAsia="宋体" w:cs="Times New Roman"/>
          <w:color w:val="000000" w:themeColor="text1"/>
          <w:sz w:val="24"/>
          <w:u w:val="single"/>
          <w:lang w:eastAsia="zh-CN"/>
          <w14:textFill>
            <w14:solidFill>
              <w14:schemeClr w14:val="tx1"/>
            </w14:solidFill>
          </w14:textFill>
        </w:rPr>
        <w:t>容量</w:t>
      </w:r>
      <w:r>
        <w:rPr>
          <w:rFonts w:hint="eastAsia" w:ascii="Times New Roman" w:hAnsi="Times New Roman" w:eastAsia="宋体" w:cs="Times New Roman"/>
          <w:color w:val="000000" w:themeColor="text1"/>
          <w:sz w:val="24"/>
          <w:u w:val="single"/>
          <w:lang w:eastAsia="zh-CN"/>
          <w14:textFill>
            <w14:solidFill>
              <w14:schemeClr w14:val="tx1"/>
            </w14:solidFill>
          </w14:textFill>
        </w:rPr>
        <w:t>略</w:t>
      </w:r>
      <w:r>
        <w:rPr>
          <w:rFonts w:hint="default" w:ascii="Times New Roman" w:hAnsi="Times New Roman" w:eastAsia="宋体" w:cs="Times New Roman"/>
          <w:color w:val="000000" w:themeColor="text1"/>
          <w:sz w:val="24"/>
          <w:u w:val="single"/>
          <w:lang w:eastAsia="zh-CN"/>
          <w14:textFill>
            <w14:solidFill>
              <w14:schemeClr w14:val="tx1"/>
            </w14:solidFill>
          </w14:textFill>
        </w:rPr>
        <w:t>大于本项目主变容量，出线规模比本项目多</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1回线路，因此，采用</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长沙市</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水渡河变电站作为本工程变电站的类比对象是可行的。</w:t>
      </w:r>
    </w:p>
    <w:p>
      <w:pPr>
        <w:pStyle w:val="4"/>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16"/>
          <w:u w:val="single"/>
          <w:lang w:val="en-US" w:eastAsia="zh-CN"/>
          <w14:textFill>
            <w14:solidFill>
              <w14:schemeClr w14:val="tx1"/>
            </w14:solidFill>
          </w14:textFill>
        </w:rPr>
      </w:pPr>
      <w:bookmarkStart w:id="69" w:name="_Toc9695"/>
      <w:r>
        <w:rPr>
          <w:rFonts w:hint="default" w:ascii="Times New Roman" w:hAnsi="Times New Roman" w:eastAsia="宋体" w:cs="Times New Roman"/>
          <w:color w:val="000000" w:themeColor="text1"/>
          <w:sz w:val="24"/>
          <w:szCs w:val="16"/>
          <w:u w:val="single"/>
          <w:lang w:val="en-US" w:eastAsia="zh-CN"/>
          <w14:textFill>
            <w14:solidFill>
              <w14:schemeClr w14:val="tx1"/>
            </w14:solidFill>
          </w14:textFill>
        </w:rPr>
        <w:t>4.3类比监测情况</w:t>
      </w:r>
      <w:bookmarkEnd w:id="69"/>
    </w:p>
    <w:p>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u w:val="single"/>
          <w:lang w:val="en-US" w:eastAsia="en-US"/>
          <w14:textFill>
            <w14:solidFill>
              <w14:schemeClr w14:val="tx1"/>
            </w14:solidFill>
          </w14:textFill>
        </w:rPr>
      </w:pPr>
      <w:r>
        <w:rPr>
          <w:rFonts w:hint="default" w:ascii="Times New Roman" w:hAnsi="Times New Roman" w:eastAsia="宋体" w:cs="Times New Roman"/>
          <w:color w:val="000000" w:themeColor="text1"/>
          <w:sz w:val="24"/>
          <w:u w:val="single"/>
          <w:lang w:val="en-US" w:eastAsia="en-US"/>
          <w14:textFill>
            <w14:solidFill>
              <w14:schemeClr w14:val="tx1"/>
            </w14:solidFill>
          </w14:textFill>
        </w:rPr>
        <w:t>（1）监测单位</w:t>
      </w:r>
    </w:p>
    <w:p>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u w:val="single"/>
          <w:lang w:val="en-US" w:eastAsia="zh-CN"/>
          <w14:textFill>
            <w14:solidFill>
              <w14:schemeClr w14:val="tx1"/>
            </w14:solidFill>
          </w14:textFill>
        </w:rPr>
        <w:t>湖南省湘电试验研究院有限公司</w:t>
      </w:r>
    </w:p>
    <w:p>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u w:val="single"/>
          <w:lang w:val="en-US" w:eastAsia="en-US"/>
          <w14:textFill>
            <w14:solidFill>
              <w14:schemeClr w14:val="tx1"/>
            </w14:solidFill>
          </w14:textFill>
        </w:rPr>
      </w:pPr>
      <w:r>
        <w:rPr>
          <w:rFonts w:hint="default" w:ascii="Times New Roman" w:hAnsi="Times New Roman" w:eastAsia="宋体" w:cs="Times New Roman"/>
          <w:color w:val="000000" w:themeColor="text1"/>
          <w:sz w:val="24"/>
          <w:u w:val="single"/>
          <w:lang w:val="en-US" w:eastAsia="en-US"/>
          <w14:textFill>
            <w14:solidFill>
              <w14:schemeClr w14:val="tx1"/>
            </w14:solidFill>
          </w14:textFill>
        </w:rPr>
        <w:t>（</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2</w:t>
      </w:r>
      <w:r>
        <w:rPr>
          <w:rFonts w:hint="default" w:ascii="Times New Roman" w:hAnsi="Times New Roman" w:eastAsia="宋体" w:cs="Times New Roman"/>
          <w:color w:val="000000" w:themeColor="text1"/>
          <w:sz w:val="24"/>
          <w:u w:val="single"/>
          <w:lang w:val="en-US" w:eastAsia="en-US"/>
          <w14:textFill>
            <w14:solidFill>
              <w14:schemeClr w14:val="tx1"/>
            </w14:solidFill>
          </w14:textFill>
        </w:rPr>
        <w:t>）监测内容</w:t>
      </w:r>
    </w:p>
    <w:p>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pPr>
      <w:r>
        <w:rPr>
          <w:rFonts w:hint="default" w:ascii="Times New Roman" w:hAnsi="Times New Roman" w:eastAsia="宋体" w:cs="Times New Roman"/>
          <w:color w:val="000000" w:themeColor="text1"/>
          <w:sz w:val="24"/>
          <w:u w:val="single"/>
          <w:lang w:val="en-US" w:eastAsia="en-US"/>
          <w14:textFill>
            <w14:solidFill>
              <w14:schemeClr w14:val="tx1"/>
            </w14:solidFill>
          </w14:textFill>
        </w:rPr>
        <w:t>工频电磁强度、工频磁</w:t>
      </w:r>
      <w:r>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t>感应强度</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pPr>
      <w:r>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t>（</w:t>
      </w:r>
      <w:r>
        <w:rPr>
          <w:rFonts w:hint="default" w:ascii="Times New Roman" w:hAnsi="Times New Roman" w:eastAsia="Times New Roman" w:cs="Times New Roman"/>
          <w:color w:val="000000" w:themeColor="text1"/>
          <w:sz w:val="24"/>
          <w:szCs w:val="24"/>
          <w:u w:val="single"/>
          <w:lang w:val="en-US" w:eastAsia="en-US" w:bidi="ar-SA"/>
          <w14:textFill>
            <w14:solidFill>
              <w14:schemeClr w14:val="tx1"/>
            </w14:solidFill>
          </w14:textFill>
        </w:rPr>
        <w:t>3</w:t>
      </w:r>
      <w:r>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t>）监测内容</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72" w:firstLineChars="200"/>
        <w:jc w:val="left"/>
        <w:textAlignment w:val="auto"/>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sz w:val="24"/>
          <w:szCs w:val="24"/>
          <w:u w:val="single"/>
          <w:lang w:val="en-US" w:eastAsia="en-US" w:bidi="ar-SA"/>
          <w14:textFill>
            <w14:solidFill>
              <w14:schemeClr w14:val="tx1"/>
            </w14:solidFill>
          </w14:textFill>
        </w:rPr>
        <w:t>电磁环境现状监测按《交流输变电工程电磁环境监测方法》（</w:t>
      </w:r>
      <w:r>
        <w:rPr>
          <w:rFonts w:hint="default" w:ascii="Times New Roman" w:hAnsi="Times New Roman" w:eastAsia="Times New Roman" w:cs="Times New Roman"/>
          <w:color w:val="000000" w:themeColor="text1"/>
          <w:spacing w:val="-2"/>
          <w:sz w:val="24"/>
          <w:szCs w:val="24"/>
          <w:u w:val="single"/>
          <w:lang w:val="en-US" w:eastAsia="en-US" w:bidi="ar-SA"/>
          <w14:textFill>
            <w14:solidFill>
              <w14:schemeClr w14:val="tx1"/>
            </w14:solidFill>
          </w14:textFill>
        </w:rPr>
        <w:t>HJ</w:t>
      </w:r>
      <w:r>
        <w:rPr>
          <w:rFonts w:hint="default" w:ascii="Times New Roman" w:hAnsi="Times New Roman" w:eastAsia="Times New Roman" w:cs="Times New Roman"/>
          <w:color w:val="000000" w:themeColor="text1"/>
          <w:sz w:val="24"/>
          <w:szCs w:val="24"/>
          <w:u w:val="single"/>
          <w:lang w:val="en-US" w:eastAsia="en-US" w:bidi="ar-SA"/>
          <w14:textFill>
            <w14:solidFill>
              <w14:schemeClr w14:val="tx1"/>
            </w14:solidFill>
          </w14:textFill>
        </w:rPr>
        <w:t xml:space="preserve"> </w:t>
      </w:r>
      <w:r>
        <w:rPr>
          <w:rFonts w:hint="default" w:ascii="Times New Roman" w:hAnsi="Times New Roman" w:eastAsia="Times New Roman" w:cs="Times New Roman"/>
          <w:color w:val="000000" w:themeColor="text1"/>
          <w:spacing w:val="-4"/>
          <w:sz w:val="24"/>
          <w:szCs w:val="24"/>
          <w:u w:val="single"/>
          <w:lang w:val="en-US" w:eastAsia="en-US" w:bidi="ar-SA"/>
          <w14:textFill>
            <w14:solidFill>
              <w14:schemeClr w14:val="tx1"/>
            </w14:solidFill>
          </w14:textFill>
        </w:rPr>
        <w:t>681-2013</w:t>
      </w:r>
      <w:r>
        <w:rPr>
          <w:rFonts w:hint="default" w:ascii="Times New Roman" w:hAnsi="Times New Roman" w:eastAsia="宋体" w:cs="Times New Roman"/>
          <w:color w:val="000000" w:themeColor="text1"/>
          <w:spacing w:val="-4"/>
          <w:sz w:val="24"/>
          <w:szCs w:val="24"/>
          <w:u w:val="single"/>
          <w:lang w:val="en-US" w:eastAsia="en-US" w:bidi="ar-SA"/>
          <w14:textFill>
            <w14:solidFill>
              <w14:schemeClr w14:val="tx1"/>
            </w14:solidFill>
          </w14:textFill>
        </w:rPr>
        <w:t>）和《环</w:t>
      </w:r>
      <w:r>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t>境影响评价技术导则</w:t>
      </w:r>
      <w:r>
        <w:rPr>
          <w:rFonts w:hint="default" w:ascii="Times New Roman" w:hAnsi="Times New Roman" w:eastAsia="宋体" w:cs="Times New Roman"/>
          <w:color w:val="000000" w:themeColor="text1"/>
          <w:spacing w:val="-1"/>
          <w:sz w:val="24"/>
          <w:szCs w:val="24"/>
          <w:u w:val="single"/>
          <w:lang w:val="en-US" w:eastAsia="en-US" w:bidi="ar-SA"/>
          <w14:textFill>
            <w14:solidFill>
              <w14:schemeClr w14:val="tx1"/>
            </w14:solidFill>
          </w14:textFill>
        </w:rPr>
        <w:t xml:space="preserve"> </w:t>
      </w:r>
      <w:r>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t>输变电》（</w:t>
      </w:r>
      <w:r>
        <w:rPr>
          <w:rFonts w:hint="default" w:ascii="Times New Roman" w:hAnsi="Times New Roman" w:eastAsia="Times New Roman" w:cs="Times New Roman"/>
          <w:color w:val="000000" w:themeColor="text1"/>
          <w:sz w:val="24"/>
          <w:szCs w:val="24"/>
          <w:u w:val="single"/>
          <w:lang w:val="en-US" w:eastAsia="en-US" w:bidi="ar-SA"/>
          <w14:textFill>
            <w14:solidFill>
              <w14:schemeClr w14:val="tx1"/>
            </w14:solidFill>
          </w14:textFill>
        </w:rPr>
        <w:t>HJ24-2020</w:t>
      </w:r>
      <w:r>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t>）中相关规定执行。</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pPr>
      <w:r>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t>（</w:t>
      </w:r>
      <w:r>
        <w:rPr>
          <w:rFonts w:hint="default" w:ascii="Times New Roman" w:hAnsi="Times New Roman" w:eastAsia="Times New Roman" w:cs="Times New Roman"/>
          <w:color w:val="000000" w:themeColor="text1"/>
          <w:sz w:val="24"/>
          <w:szCs w:val="24"/>
          <w:u w:val="single"/>
          <w:lang w:val="en-US" w:eastAsia="en-US" w:bidi="ar-SA"/>
          <w14:textFill>
            <w14:solidFill>
              <w14:schemeClr w14:val="tx1"/>
            </w14:solidFill>
          </w14:textFill>
        </w:rPr>
        <w:t>4</w:t>
      </w:r>
      <w:r>
        <w:rPr>
          <w:rFonts w:hint="default" w:ascii="Times New Roman" w:hAnsi="Times New Roman" w:eastAsia="宋体" w:cs="Times New Roman"/>
          <w:color w:val="000000" w:themeColor="text1"/>
          <w:sz w:val="24"/>
          <w:szCs w:val="24"/>
          <w:u w:val="single"/>
          <w:lang w:val="en-US" w:eastAsia="en-US" w:bidi="ar-SA"/>
          <w14:textFill>
            <w14:solidFill>
              <w14:schemeClr w14:val="tx1"/>
            </w14:solidFill>
          </w14:textFill>
        </w:rPr>
        <w:t>）监测仪器</w:t>
      </w:r>
    </w:p>
    <w:p>
      <w:pPr>
        <w:tabs>
          <w:tab w:val="left" w:pos="3431"/>
        </w:tabs>
        <w:spacing w:before="0" w:after="7" w:line="298" w:lineRule="exact"/>
        <w:ind w:right="210"/>
        <w:jc w:val="center"/>
        <w:rPr>
          <w:rFonts w:hint="default" w:ascii="Times New Roman" w:hAnsi="Times New Roman" w:eastAsia="宋体" w:cs="Times New Roman"/>
          <w:b/>
          <w:bCs/>
          <w:color w:val="000000" w:themeColor="text1"/>
          <w:sz w:val="21"/>
          <w:szCs w:val="21"/>
          <w:u w:val="single"/>
          <w:lang w:eastAsia="en-US"/>
          <w14:textFill>
            <w14:solidFill>
              <w14:schemeClr w14:val="tx1"/>
            </w14:solidFill>
          </w14:textFill>
        </w:rPr>
      </w:pPr>
    </w:p>
    <w:p>
      <w:pPr>
        <w:tabs>
          <w:tab w:val="left" w:pos="3431"/>
        </w:tabs>
        <w:spacing w:before="0" w:after="7" w:line="298" w:lineRule="exact"/>
        <w:ind w:right="210"/>
        <w:jc w:val="center"/>
        <w:rPr>
          <w:rFonts w:hint="default" w:ascii="Times New Roman" w:hAnsi="Times New Roman" w:eastAsia="宋体" w:cs="Times New Roman"/>
          <w:b/>
          <w:bCs/>
          <w:color w:val="000000" w:themeColor="text1"/>
          <w:sz w:val="21"/>
          <w:szCs w:val="21"/>
          <w:u w:val="single"/>
          <w:lang w:eastAsia="en-US"/>
          <w14:textFill>
            <w14:solidFill>
              <w14:schemeClr w14:val="tx1"/>
            </w14:solidFill>
          </w14:textFill>
        </w:rPr>
      </w:pPr>
    </w:p>
    <w:p>
      <w:pPr>
        <w:tabs>
          <w:tab w:val="left" w:pos="3431"/>
        </w:tabs>
        <w:spacing w:before="0" w:after="7" w:line="298" w:lineRule="exact"/>
        <w:ind w:right="210"/>
        <w:jc w:val="center"/>
        <w:rPr>
          <w:rFonts w:hint="default" w:ascii="Times New Roman" w:hAnsi="Times New Roman" w:eastAsia="宋体" w:cs="Times New Roman"/>
          <w:b/>
          <w:bCs/>
          <w:color w:val="000000" w:themeColor="text1"/>
          <w:sz w:val="21"/>
          <w:szCs w:val="21"/>
          <w:u w:val="single"/>
          <w:lang w:eastAsia="en-US"/>
          <w14:textFill>
            <w14:solidFill>
              <w14:schemeClr w14:val="tx1"/>
            </w14:solidFill>
          </w14:textFill>
        </w:rPr>
      </w:pPr>
    </w:p>
    <w:p>
      <w:pPr>
        <w:tabs>
          <w:tab w:val="left" w:pos="3431"/>
        </w:tabs>
        <w:spacing w:before="0" w:after="7" w:line="298" w:lineRule="exact"/>
        <w:ind w:right="210"/>
        <w:jc w:val="center"/>
        <w:rPr>
          <w:rFonts w:hint="default" w:ascii="Times New Roman" w:hAnsi="Times New Roman" w:eastAsia="宋体" w:cs="Times New Roman"/>
          <w:b/>
          <w:bCs/>
          <w:color w:val="000000" w:themeColor="text1"/>
          <w:sz w:val="21"/>
          <w:szCs w:val="21"/>
          <w:u w:val="single"/>
          <w:lang w:eastAsia="en-US"/>
          <w14:textFill>
            <w14:solidFill>
              <w14:schemeClr w14:val="tx1"/>
            </w14:solidFill>
          </w14:textFill>
        </w:rPr>
      </w:pPr>
      <w:r>
        <w:rPr>
          <w:rFonts w:hint="default" w:ascii="Times New Roman" w:hAnsi="Times New Roman" w:eastAsia="宋体" w:cs="Times New Roman"/>
          <w:b/>
          <w:bCs/>
          <w:color w:val="000000" w:themeColor="text1"/>
          <w:sz w:val="21"/>
          <w:szCs w:val="21"/>
          <w:u w:val="single"/>
          <w:lang w:eastAsia="en-US"/>
          <w14:textFill>
            <w14:solidFill>
              <w14:schemeClr w14:val="tx1"/>
            </w14:solidFill>
          </w14:textFill>
        </w:rPr>
        <w:t>表</w:t>
      </w:r>
      <w:r>
        <w:rPr>
          <w:rFonts w:hint="default" w:ascii="Times New Roman" w:hAnsi="Times New Roman" w:cs="Times New Roman"/>
          <w:b/>
          <w:bCs/>
          <w:color w:val="000000" w:themeColor="text1"/>
          <w:sz w:val="21"/>
          <w:szCs w:val="21"/>
          <w:u w:val="single"/>
          <w:lang w:val="en-US" w:eastAsia="zh-CN"/>
          <w14:textFill>
            <w14:solidFill>
              <w14:schemeClr w14:val="tx1"/>
            </w14:solidFill>
          </w14:textFill>
        </w:rPr>
        <w:t>4-2</w:t>
      </w:r>
      <w:r>
        <w:rPr>
          <w:rFonts w:hint="default" w:ascii="Times New Roman" w:hAnsi="Times New Roman" w:eastAsia="宋体" w:cs="Times New Roman"/>
          <w:b/>
          <w:bCs/>
          <w:color w:val="000000" w:themeColor="text1"/>
          <w:sz w:val="21"/>
          <w:szCs w:val="21"/>
          <w:u w:val="single"/>
          <w:lang w:eastAsia="en-US"/>
          <w14:textFill>
            <w14:solidFill>
              <w14:schemeClr w14:val="tx1"/>
            </w14:solidFill>
          </w14:textFill>
        </w:rPr>
        <w:t xml:space="preserve"> 电磁环境监测仪器情况表</w:t>
      </w:r>
    </w:p>
    <w:tbl>
      <w:tblPr>
        <w:tblStyle w:val="22"/>
        <w:tblW w:w="5012" w:type="pct"/>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autofit"/>
        <w:tblCellMar>
          <w:top w:w="0" w:type="dxa"/>
          <w:left w:w="0" w:type="dxa"/>
          <w:bottom w:w="0" w:type="dxa"/>
          <w:right w:w="0" w:type="dxa"/>
        </w:tblCellMar>
      </w:tblPr>
      <w:tblGrid>
        <w:gridCol w:w="4635"/>
        <w:gridCol w:w="4148"/>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2638" w:type="pct"/>
            <w:tcBorders>
              <w:bottom w:val="single" w:color="000000" w:sz="6" w:space="0"/>
              <w:right w:val="single" w:color="000000" w:sz="6" w:space="0"/>
            </w:tcBorders>
            <w:vAlign w:val="center"/>
          </w:tcPr>
          <w:p>
            <w:pPr>
              <w:keepNext w:val="0"/>
              <w:keepLines w:val="0"/>
              <w:widowControl w:val="0"/>
              <w:suppressLineNumbers w:val="0"/>
              <w:spacing w:before="0" w:beforeAutospacing="0" w:after="0" w:afterAutospacing="0" w:line="274" w:lineRule="exact"/>
              <w:ind w:left="0" w:right="4"/>
              <w:jc w:val="center"/>
              <w:rPr>
                <w:rFonts w:hint="eastAsia" w:ascii="Times New Roman" w:hAnsi="Times New Roman" w:eastAsia="宋体" w:cs="Times New Roman"/>
                <w:b/>
                <w:bCs/>
                <w:color w:val="000000" w:themeColor="text1"/>
                <w:sz w:val="21"/>
                <w:szCs w:val="21"/>
                <w:u w:val="single"/>
                <w:lang w:val="en-US" w:eastAsia="zh-CN" w:bidi="ar-SA"/>
                <w14:textFill>
                  <w14:solidFill>
                    <w14:schemeClr w14:val="tx1"/>
                  </w14:solidFill>
                </w14:textFill>
              </w:rPr>
            </w:pPr>
            <w:r>
              <w:rPr>
                <w:rFonts w:hint="eastAsia" w:cs="Times New Roman"/>
                <w:b/>
                <w:bCs/>
                <w:color w:val="000000" w:themeColor="text1"/>
                <w:sz w:val="21"/>
                <w:szCs w:val="21"/>
                <w:u w:val="single"/>
                <w:lang w:eastAsia="zh-CN"/>
                <w14:textFill>
                  <w14:solidFill>
                    <w14:schemeClr w14:val="tx1"/>
                  </w14:solidFill>
                </w14:textFill>
              </w:rPr>
              <w:t>监测仪</w:t>
            </w:r>
          </w:p>
        </w:tc>
        <w:tc>
          <w:tcPr>
            <w:tcW w:w="2361" w:type="pct"/>
            <w:tcBorders>
              <w:left w:val="single" w:color="000000" w:sz="6" w:space="0"/>
              <w:bottom w:val="single" w:color="000000" w:sz="6" w:space="0"/>
            </w:tcBorders>
            <w:vAlign w:val="center"/>
          </w:tcPr>
          <w:p>
            <w:pPr>
              <w:keepNext w:val="0"/>
              <w:keepLines w:val="0"/>
              <w:widowControl w:val="0"/>
              <w:suppressLineNumbers w:val="0"/>
              <w:spacing w:before="0" w:beforeAutospacing="0" w:after="0" w:afterAutospacing="0" w:line="274" w:lineRule="exact"/>
              <w:ind w:left="0" w:leftChars="0" w:right="0" w:rightChars="0"/>
              <w:jc w:val="cente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SA"/>
                <w14:textFill>
                  <w14:solidFill>
                    <w14:schemeClr w14:val="tx1"/>
                  </w14:solidFill>
                </w14:textFill>
              </w:rPr>
              <w:t>SEM-600/LF-04 电磁辐射分析仪</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trPr>
        <w:tc>
          <w:tcPr>
            <w:tcW w:w="2638" w:type="pct"/>
            <w:tcBorders>
              <w:top w:val="single" w:color="000000" w:sz="8" w:space="0"/>
              <w:bottom w:val="single" w:color="000000" w:sz="8" w:space="0"/>
              <w:right w:val="single" w:color="000000" w:sz="6" w:space="0"/>
            </w:tcBorders>
            <w:vAlign w:val="center"/>
          </w:tcPr>
          <w:p>
            <w:pPr>
              <w:keepNext w:val="0"/>
              <w:keepLines w:val="0"/>
              <w:widowControl w:val="0"/>
              <w:suppressLineNumbers w:val="0"/>
              <w:spacing w:before="0" w:beforeAutospacing="0" w:after="0" w:afterAutospacing="0" w:line="274" w:lineRule="exact"/>
              <w:ind w:left="0" w:right="4"/>
              <w:jc w:val="center"/>
              <w:rPr>
                <w:rFonts w:hint="eastAsia" w:ascii="Times New Roman" w:hAnsi="Times New Roman" w:eastAsia="宋体" w:cs="Times New Roman"/>
                <w:color w:val="000000" w:themeColor="text1"/>
                <w:sz w:val="21"/>
                <w:szCs w:val="21"/>
                <w:u w:val="single"/>
                <w:lang w:eastAsia="zh-CN"/>
                <w14:textFill>
                  <w14:solidFill>
                    <w14:schemeClr w14:val="tx1"/>
                  </w14:solidFill>
                </w14:textFill>
              </w:rPr>
            </w:pPr>
            <w:r>
              <w:rPr>
                <w:rFonts w:hint="eastAsia" w:cs="Times New Roman"/>
                <w:color w:val="000000" w:themeColor="text1"/>
                <w:sz w:val="21"/>
                <w:szCs w:val="21"/>
                <w:u w:val="single"/>
                <w:lang w:eastAsia="zh-CN"/>
                <w14:textFill>
                  <w14:solidFill>
                    <w14:schemeClr w14:val="tx1"/>
                  </w14:solidFill>
                </w14:textFill>
              </w:rPr>
              <w:t>生产厂家</w:t>
            </w:r>
          </w:p>
        </w:tc>
        <w:tc>
          <w:tcPr>
            <w:tcW w:w="2361" w:type="pct"/>
            <w:tcBorders>
              <w:top w:val="single" w:color="000000" w:sz="8" w:space="0"/>
              <w:left w:val="single" w:color="000000" w:sz="6" w:space="0"/>
              <w:bottom w:val="single" w:color="000000" w:sz="8" w:space="0"/>
            </w:tcBorders>
            <w:vAlign w:val="center"/>
          </w:tcPr>
          <w:p>
            <w:pPr>
              <w:keepNext w:val="0"/>
              <w:keepLines w:val="0"/>
              <w:widowControl w:val="0"/>
              <w:suppressLineNumbers w:val="0"/>
              <w:spacing w:before="0" w:beforeAutospacing="0" w:after="0" w:afterAutospacing="0" w:line="274" w:lineRule="exact"/>
              <w:ind w:left="0" w:leftChars="0" w:right="0" w:rightChars="0"/>
              <w:jc w:val="cente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eastAsia" w:ascii="宋体" w:hAnsi="宋体" w:eastAsia="宋体"/>
                <w:color w:val="000000" w:themeColor="text1"/>
                <w:sz w:val="21"/>
                <w:szCs w:val="24"/>
                <w14:textFill>
                  <w14:solidFill>
                    <w14:schemeClr w14:val="tx1"/>
                  </w14:solidFill>
                </w14:textFill>
              </w:rPr>
              <w:t>森馥</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2638" w:type="pct"/>
            <w:tcBorders>
              <w:top w:val="single" w:color="000000" w:sz="8" w:space="0"/>
              <w:bottom w:val="single" w:color="000000" w:sz="8" w:space="0"/>
              <w:right w:val="single" w:color="000000" w:sz="6" w:space="0"/>
            </w:tcBorders>
            <w:vAlign w:val="center"/>
          </w:tcPr>
          <w:p>
            <w:pPr>
              <w:keepNext w:val="0"/>
              <w:keepLines w:val="0"/>
              <w:widowControl w:val="0"/>
              <w:suppressLineNumbers w:val="0"/>
              <w:spacing w:before="0" w:beforeAutospacing="0" w:after="0" w:afterAutospacing="0" w:line="274" w:lineRule="exact"/>
              <w:ind w:left="0" w:right="4"/>
              <w:jc w:val="center"/>
              <w:rPr>
                <w:rFonts w:hint="eastAsia" w:ascii="Times New Roman" w:hAnsi="Times New Roman" w:eastAsia="宋体" w:cs="Times New Roman"/>
                <w:color w:val="000000" w:themeColor="text1"/>
                <w:sz w:val="21"/>
                <w:szCs w:val="21"/>
                <w:u w:val="single"/>
                <w:lang w:eastAsia="zh-CN"/>
                <w14:textFill>
                  <w14:solidFill>
                    <w14:schemeClr w14:val="tx1"/>
                  </w14:solidFill>
                </w14:textFill>
              </w:rPr>
            </w:pPr>
            <w:r>
              <w:rPr>
                <w:rFonts w:hint="eastAsia" w:cs="Times New Roman"/>
                <w:color w:val="000000" w:themeColor="text1"/>
                <w:sz w:val="21"/>
                <w:szCs w:val="21"/>
                <w:u w:val="single"/>
                <w:lang w:eastAsia="zh-CN"/>
                <w14:textFill>
                  <w14:solidFill>
                    <w14:schemeClr w14:val="tx1"/>
                  </w14:solidFill>
                </w14:textFill>
              </w:rPr>
              <w:t>计量校准单位</w:t>
            </w:r>
          </w:p>
        </w:tc>
        <w:tc>
          <w:tcPr>
            <w:tcW w:w="2361" w:type="pct"/>
            <w:tcBorders>
              <w:top w:val="single" w:color="000000" w:sz="8" w:space="0"/>
              <w:left w:val="single" w:color="000000" w:sz="6" w:space="0"/>
              <w:bottom w:val="single" w:color="000000" w:sz="8" w:space="0"/>
            </w:tcBorders>
            <w:vAlign w:val="center"/>
          </w:tcPr>
          <w:p>
            <w:pPr>
              <w:keepNext w:val="0"/>
              <w:keepLines w:val="0"/>
              <w:widowControl w:val="0"/>
              <w:suppressLineNumbers w:val="0"/>
              <w:spacing w:before="0" w:beforeAutospacing="0" w:after="0" w:afterAutospacing="0" w:line="274" w:lineRule="exact"/>
              <w:ind w:left="0" w:leftChars="0" w:right="0" w:rightChars="0"/>
              <w:jc w:val="cente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eastAsia" w:ascii="宋体" w:hAnsi="宋体" w:eastAsia="宋体"/>
                <w:color w:val="000000" w:themeColor="text1"/>
                <w:sz w:val="21"/>
                <w:szCs w:val="24"/>
                <w14:textFill>
                  <w14:solidFill>
                    <w14:schemeClr w14:val="tx1"/>
                  </w14:solidFill>
                </w14:textFill>
              </w:rPr>
              <w:t>中国计量科学研究院</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2638" w:type="pct"/>
            <w:tcBorders>
              <w:top w:val="single" w:color="000000" w:sz="8" w:space="0"/>
              <w:bottom w:val="single" w:color="000000" w:sz="8" w:space="0"/>
              <w:right w:val="single" w:color="000000" w:sz="6" w:space="0"/>
            </w:tcBorders>
            <w:vAlign w:val="center"/>
          </w:tcPr>
          <w:p>
            <w:pPr>
              <w:keepNext w:val="0"/>
              <w:keepLines w:val="0"/>
              <w:widowControl w:val="0"/>
              <w:suppressLineNumbers w:val="0"/>
              <w:spacing w:before="0" w:beforeAutospacing="0" w:after="0" w:afterAutospacing="0" w:line="274" w:lineRule="exact"/>
              <w:ind w:left="0" w:right="4"/>
              <w:jc w:val="center"/>
              <w:rPr>
                <w:rFonts w:hint="eastAsia" w:ascii="Times New Roman" w:hAnsi="Times New Roman" w:eastAsia="宋体" w:cs="Times New Roman"/>
                <w:color w:val="000000" w:themeColor="text1"/>
                <w:sz w:val="21"/>
                <w:szCs w:val="21"/>
                <w:u w:val="single"/>
                <w:lang w:eastAsia="zh-CN"/>
                <w14:textFill>
                  <w14:solidFill>
                    <w14:schemeClr w14:val="tx1"/>
                  </w14:solidFill>
                </w14:textFill>
              </w:rPr>
            </w:pPr>
            <w:r>
              <w:rPr>
                <w:rFonts w:hint="eastAsia" w:cs="Times New Roman"/>
                <w:color w:val="000000" w:themeColor="text1"/>
                <w:sz w:val="21"/>
                <w:szCs w:val="21"/>
                <w:u w:val="single"/>
                <w:lang w:eastAsia="zh-CN"/>
                <w14:textFill>
                  <w14:solidFill>
                    <w14:schemeClr w14:val="tx1"/>
                  </w14:solidFill>
                </w14:textFill>
              </w:rPr>
              <w:t>证书编号</w:t>
            </w:r>
          </w:p>
        </w:tc>
        <w:tc>
          <w:tcPr>
            <w:tcW w:w="2361" w:type="pct"/>
            <w:tcBorders>
              <w:top w:val="single" w:color="000000" w:sz="8" w:space="0"/>
              <w:left w:val="single" w:color="000000" w:sz="6" w:space="0"/>
              <w:bottom w:val="single" w:color="000000" w:sz="8" w:space="0"/>
            </w:tcBorders>
            <w:vAlign w:val="center"/>
          </w:tcPr>
          <w:p>
            <w:pPr>
              <w:keepNext w:val="0"/>
              <w:keepLines w:val="0"/>
              <w:widowControl w:val="0"/>
              <w:suppressLineNumbers w:val="0"/>
              <w:spacing w:before="0" w:beforeAutospacing="0" w:after="0" w:afterAutospacing="0" w:line="274" w:lineRule="exact"/>
              <w:ind w:left="0" w:leftChars="0" w:right="0" w:rightChars="0"/>
              <w:jc w:val="cente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eastAsia" w:ascii="TimesNewRomanPSMT" w:hAnsi="TimesNewRomanPSMT" w:eastAsia="TimesNewRomanPSMT"/>
                <w:color w:val="000000" w:themeColor="text1"/>
                <w:sz w:val="21"/>
                <w:szCs w:val="24"/>
                <w14:textFill>
                  <w14:solidFill>
                    <w14:schemeClr w14:val="tx1"/>
                  </w14:solidFill>
                </w14:textFill>
              </w:rPr>
              <w:t>XDdj2021-12140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2638" w:type="pct"/>
            <w:tcBorders>
              <w:top w:val="single" w:color="000000" w:sz="8" w:space="0"/>
              <w:right w:val="single" w:color="000000" w:sz="6" w:space="0"/>
            </w:tcBorders>
            <w:vAlign w:val="center"/>
          </w:tcPr>
          <w:p>
            <w:pPr>
              <w:keepNext w:val="0"/>
              <w:keepLines w:val="0"/>
              <w:widowControl w:val="0"/>
              <w:suppressLineNumbers w:val="0"/>
              <w:spacing w:before="0" w:beforeAutospacing="0" w:after="0" w:afterAutospacing="0" w:line="274" w:lineRule="exact"/>
              <w:ind w:left="0" w:right="4"/>
              <w:jc w:val="center"/>
              <w:rPr>
                <w:rFonts w:hint="eastAsia" w:ascii="Times New Roman" w:hAnsi="Times New Roman" w:eastAsia="宋体" w:cs="Times New Roman"/>
                <w:color w:val="000000" w:themeColor="text1"/>
                <w:sz w:val="21"/>
                <w:szCs w:val="21"/>
                <w:u w:val="single"/>
                <w:lang w:eastAsia="zh-CN"/>
                <w14:textFill>
                  <w14:solidFill>
                    <w14:schemeClr w14:val="tx1"/>
                  </w14:solidFill>
                </w14:textFill>
              </w:rPr>
            </w:pPr>
            <w:r>
              <w:rPr>
                <w:rFonts w:hint="eastAsia" w:cs="Times New Roman"/>
                <w:color w:val="000000" w:themeColor="text1"/>
                <w:sz w:val="21"/>
                <w:szCs w:val="21"/>
                <w:u w:val="single"/>
                <w:lang w:eastAsia="zh-CN"/>
                <w14:textFill>
                  <w14:solidFill>
                    <w14:schemeClr w14:val="tx1"/>
                  </w14:solidFill>
                </w14:textFill>
              </w:rPr>
              <w:t>有效期限至</w:t>
            </w:r>
          </w:p>
        </w:tc>
        <w:tc>
          <w:tcPr>
            <w:tcW w:w="2361" w:type="pct"/>
            <w:tcBorders>
              <w:top w:val="single" w:color="000000" w:sz="8" w:space="0"/>
              <w:left w:val="single" w:color="000000" w:sz="6" w:space="0"/>
            </w:tcBorders>
            <w:vAlign w:val="center"/>
          </w:tcPr>
          <w:p>
            <w:pPr>
              <w:keepNext w:val="0"/>
              <w:keepLines w:val="0"/>
              <w:widowControl w:val="0"/>
              <w:suppressLineNumbers w:val="0"/>
              <w:spacing w:before="0" w:beforeAutospacing="0" w:after="0" w:afterAutospacing="0" w:line="274" w:lineRule="exact"/>
              <w:ind w:left="0" w:right="0"/>
              <w:jc w:val="center"/>
              <w:rPr>
                <w:rFonts w:hint="default" w:ascii="Times New Roman" w:hAnsi="Times New Roman" w:eastAsia="宋体" w:cs="Times New Roman"/>
                <w:color w:val="000000" w:themeColor="text1"/>
                <w:sz w:val="21"/>
                <w:szCs w:val="21"/>
                <w:u w:val="single"/>
                <w:lang w:val="en-US" w:eastAsia="zh-CN" w:bidi="ar-SA"/>
                <w14:textFill>
                  <w14:solidFill>
                    <w14:schemeClr w14:val="tx1"/>
                  </w14:solidFill>
                </w14:textFill>
              </w:rPr>
            </w:pPr>
            <w:r>
              <w:rPr>
                <w:rFonts w:hint="eastAsia" w:ascii="TimesNewRomanPSMT" w:hAnsi="TimesNewRomanPSMT" w:eastAsia="TimesNewRomanPSMT"/>
                <w:color w:val="000000" w:themeColor="text1"/>
                <w:sz w:val="21"/>
                <w:szCs w:val="24"/>
                <w14:textFill>
                  <w14:solidFill>
                    <w14:schemeClr w14:val="tx1"/>
                  </w14:solidFill>
                </w14:textFill>
              </w:rPr>
              <w:t>2022</w:t>
            </w:r>
            <w:r>
              <w:rPr>
                <w:rFonts w:hint="eastAsia" w:ascii="宋体" w:hAnsi="宋体" w:eastAsia="宋体"/>
                <w:color w:val="000000" w:themeColor="text1"/>
                <w:sz w:val="21"/>
                <w:szCs w:val="24"/>
                <w14:textFill>
                  <w14:solidFill>
                    <w14:schemeClr w14:val="tx1"/>
                  </w14:solidFill>
                </w14:textFill>
              </w:rPr>
              <w:t>年</w:t>
            </w:r>
            <w:r>
              <w:rPr>
                <w:rFonts w:hint="eastAsia" w:ascii="TimesNewRomanPSMT" w:hAnsi="TimesNewRomanPSMT" w:eastAsia="TimesNewRomanPSMT"/>
                <w:color w:val="000000" w:themeColor="text1"/>
                <w:sz w:val="21"/>
                <w:szCs w:val="24"/>
                <w14:textFill>
                  <w14:solidFill>
                    <w14:schemeClr w14:val="tx1"/>
                  </w14:solidFill>
                </w14:textFill>
              </w:rPr>
              <w:t>5</w:t>
            </w:r>
            <w:r>
              <w:rPr>
                <w:rFonts w:hint="eastAsia" w:ascii="宋体" w:hAnsi="宋体" w:eastAsia="宋体"/>
                <w:color w:val="000000" w:themeColor="text1"/>
                <w:sz w:val="21"/>
                <w:szCs w:val="24"/>
                <w14:textFill>
                  <w14:solidFill>
                    <w14:schemeClr w14:val="tx1"/>
                  </w14:solidFill>
                </w14:textFill>
              </w:rPr>
              <w:t>月</w:t>
            </w:r>
            <w:r>
              <w:rPr>
                <w:rFonts w:hint="eastAsia" w:ascii="TimesNewRomanPSMT" w:hAnsi="TimesNewRomanPSMT" w:eastAsia="TimesNewRomanPSMT"/>
                <w:color w:val="000000" w:themeColor="text1"/>
                <w:sz w:val="21"/>
                <w:szCs w:val="24"/>
                <w14:textFill>
                  <w14:solidFill>
                    <w14:schemeClr w14:val="tx1"/>
                  </w14:solidFill>
                </w14:textFill>
              </w:rPr>
              <w:t>13</w:t>
            </w:r>
            <w:r>
              <w:rPr>
                <w:rFonts w:hint="eastAsia" w:ascii="宋体" w:hAnsi="宋体" w:eastAsia="宋体"/>
                <w:color w:val="000000" w:themeColor="text1"/>
                <w:sz w:val="21"/>
                <w:szCs w:val="24"/>
                <w14:textFill>
                  <w14:solidFill>
                    <w14:schemeClr w14:val="tx1"/>
                  </w14:solidFill>
                </w14:textFill>
              </w:rPr>
              <w:t>日</w:t>
            </w:r>
          </w:p>
        </w:tc>
      </w:tr>
    </w:tbl>
    <w:p>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u w:val="single"/>
          <w:lang w:val="en-US" w:eastAsia="en-US"/>
          <w14:textFill>
            <w14:solidFill>
              <w14:schemeClr w14:val="tx1"/>
            </w14:solidFill>
          </w14:textFill>
        </w:rPr>
      </w:pPr>
      <w:r>
        <w:rPr>
          <w:rFonts w:hint="default" w:ascii="Times New Roman" w:hAnsi="Times New Roman" w:eastAsia="宋体" w:cs="Times New Roman"/>
          <w:color w:val="000000" w:themeColor="text1"/>
          <w:sz w:val="24"/>
          <w:u w:val="single"/>
          <w:lang w:val="en-US" w:eastAsia="en-US"/>
          <w14:textFill>
            <w14:solidFill>
              <w14:schemeClr w14:val="tx1"/>
            </w14:solidFill>
          </w14:textFill>
        </w:rPr>
        <w:t>（5）监测时间及气象条件</w:t>
      </w:r>
    </w:p>
    <w:p>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u w:val="single"/>
          <w:lang w:val="en-US" w:eastAsia="zh-CN"/>
          <w14:textFill>
            <w14:solidFill>
              <w14:schemeClr w14:val="tx1"/>
            </w14:solidFill>
          </w14:textFill>
        </w:rPr>
        <w:t>监测时间：202</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1</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 xml:space="preserve"> 年</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7</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 xml:space="preserve"> 月2</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8</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 xml:space="preserve"> 日。</w:t>
      </w:r>
    </w:p>
    <w:p>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u w:val="single"/>
          <w:lang w:val="en-US" w:eastAsia="en-US"/>
          <w14:textFill>
            <w14:solidFill>
              <w14:schemeClr w14:val="tx1"/>
            </w14:solidFill>
          </w14:textFill>
        </w:rPr>
      </w:pPr>
      <w:r>
        <w:rPr>
          <w:rFonts w:hint="default" w:ascii="Times New Roman" w:hAnsi="Times New Roman" w:eastAsia="宋体" w:cs="Times New Roman"/>
          <w:color w:val="000000" w:themeColor="text1"/>
          <w:sz w:val="24"/>
          <w:u w:val="single"/>
          <w:lang w:val="en-US" w:eastAsia="zh-CN"/>
          <w14:textFill>
            <w14:solidFill>
              <w14:schemeClr w14:val="tx1"/>
            </w14:solidFill>
          </w14:textFill>
        </w:rPr>
        <w:t>气象条件：晴，环境温度34.3～34.5℃，相对湿度66.2%~66.8%。</w:t>
      </w:r>
    </w:p>
    <w:p>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u w:val="single"/>
          <w:lang w:val="en-US" w:eastAsia="en-US"/>
          <w14:textFill>
            <w14:solidFill>
              <w14:schemeClr w14:val="tx1"/>
            </w14:solidFill>
          </w14:textFill>
        </w:rPr>
        <w:t>（6）类比监测工况</w:t>
      </w:r>
    </w:p>
    <w:p>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000000" w:themeColor="text1"/>
          <w:sz w:val="24"/>
          <w:szCs w:val="24"/>
          <w:highlight w:val="none"/>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14:textFill>
            <w14:solidFill>
              <w14:schemeClr w14:val="tx1"/>
            </w14:solidFill>
          </w14:textFill>
        </w:rPr>
        <w:t>类比变电站监测时运行工况见表</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4-3</w:t>
      </w:r>
      <w:r>
        <w:rPr>
          <w:rFonts w:hint="default" w:ascii="Times New Roman" w:hAnsi="Times New Roman" w:eastAsia="宋体" w:cs="Times New Roman"/>
          <w:color w:val="000000" w:themeColor="text1"/>
          <w:sz w:val="24"/>
          <w:szCs w:val="24"/>
          <w:u w:val="single"/>
          <w14:textFill>
            <w14:solidFill>
              <w14:schemeClr w14:val="tx1"/>
            </w14:solidFill>
          </w14:textFill>
        </w:rPr>
        <w:t>。</w:t>
      </w:r>
    </w:p>
    <w:p>
      <w:pPr>
        <w:tabs>
          <w:tab w:val="left" w:pos="3431"/>
        </w:tabs>
        <w:spacing w:before="0" w:after="7" w:line="298" w:lineRule="exact"/>
        <w:ind w:right="210"/>
        <w:jc w:val="center"/>
        <w:rPr>
          <w:rFonts w:hint="default" w:ascii="Times New Roman" w:hAnsi="Times New Roman" w:eastAsia="宋体" w:cs="Times New Roman"/>
          <w:b/>
          <w:bCs/>
          <w:color w:val="000000" w:themeColor="text1"/>
          <w:sz w:val="21"/>
          <w:szCs w:val="21"/>
          <w:u w:val="single"/>
          <w:lang w:eastAsia="en-US"/>
          <w14:textFill>
            <w14:solidFill>
              <w14:schemeClr w14:val="tx1"/>
            </w14:solidFill>
          </w14:textFill>
        </w:rPr>
      </w:pPr>
      <w:r>
        <w:rPr>
          <w:rFonts w:hint="default" w:ascii="Times New Roman" w:hAnsi="Times New Roman" w:eastAsia="宋体" w:cs="Times New Roman"/>
          <w:b/>
          <w:bCs/>
          <w:color w:val="000000" w:themeColor="text1"/>
          <w:sz w:val="21"/>
          <w:szCs w:val="21"/>
          <w:u w:val="single"/>
          <w:lang w:eastAsia="en-US"/>
          <w14:textFill>
            <w14:solidFill>
              <w14:schemeClr w14:val="tx1"/>
            </w14:solidFill>
          </w14:textFill>
        </w:rPr>
        <w:t>表</w:t>
      </w:r>
      <w:r>
        <w:rPr>
          <w:rFonts w:hint="default" w:ascii="Times New Roman" w:hAnsi="Times New Roman" w:cs="Times New Roman"/>
          <w:b/>
          <w:bCs/>
          <w:color w:val="000000" w:themeColor="text1"/>
          <w:sz w:val="21"/>
          <w:szCs w:val="21"/>
          <w:u w:val="single"/>
          <w:lang w:val="en-US" w:eastAsia="zh-CN"/>
          <w14:textFill>
            <w14:solidFill>
              <w14:schemeClr w14:val="tx1"/>
            </w14:solidFill>
          </w14:textFill>
        </w:rPr>
        <w:t>4-3</w:t>
      </w:r>
      <w:r>
        <w:rPr>
          <w:rFonts w:hint="default" w:ascii="Times New Roman" w:hAnsi="Times New Roman" w:eastAsia="宋体" w:cs="Times New Roman"/>
          <w:b/>
          <w:bCs/>
          <w:color w:val="000000" w:themeColor="text1"/>
          <w:sz w:val="21"/>
          <w:szCs w:val="21"/>
          <w:u w:val="single"/>
          <w:lang w:eastAsia="en-US"/>
          <w14:textFill>
            <w14:solidFill>
              <w14:schemeClr w14:val="tx1"/>
            </w14:solidFill>
          </w14:textFill>
        </w:rPr>
        <w:t xml:space="preserve"> 类比变电站运行工况</w:t>
      </w:r>
    </w:p>
    <w:tbl>
      <w:tblPr>
        <w:tblStyle w:val="22"/>
        <w:tblW w:w="4998" w:type="pct"/>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autofit"/>
        <w:tblCellMar>
          <w:top w:w="0" w:type="dxa"/>
          <w:left w:w="0" w:type="dxa"/>
          <w:bottom w:w="0" w:type="dxa"/>
          <w:right w:w="0" w:type="dxa"/>
        </w:tblCellMar>
      </w:tblPr>
      <w:tblGrid>
        <w:gridCol w:w="2194"/>
        <w:gridCol w:w="945"/>
        <w:gridCol w:w="1463"/>
        <w:gridCol w:w="1262"/>
        <w:gridCol w:w="1393"/>
        <w:gridCol w:w="1501"/>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1252" w:type="pct"/>
            <w:tcBorders>
              <w:bottom w:val="single" w:color="000000" w:sz="6" w:space="0"/>
              <w:right w:val="single" w:color="000000" w:sz="6" w:space="0"/>
            </w:tcBorders>
            <w:vAlign w:val="center"/>
          </w:tcPr>
          <w:p>
            <w:pPr>
              <w:keepNext w:val="0"/>
              <w:keepLines w:val="0"/>
              <w:widowControl w:val="0"/>
              <w:suppressLineNumbers w:val="0"/>
              <w:spacing w:before="0" w:beforeAutospacing="0" w:after="0" w:afterAutospacing="0" w:line="274" w:lineRule="exact"/>
              <w:ind w:left="0" w:right="4"/>
              <w:jc w:val="center"/>
              <w:rPr>
                <w:rFonts w:hint="default" w:ascii="Times New Roman" w:hAnsi="Times New Roman" w:eastAsia="宋体" w:cs="Times New Roman"/>
                <w:b/>
                <w:bCs/>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14:textFill>
                  <w14:solidFill>
                    <w14:schemeClr w14:val="tx1"/>
                  </w14:solidFill>
                </w14:textFill>
              </w:rPr>
              <w:t>变电站名称</w:t>
            </w:r>
          </w:p>
        </w:tc>
        <w:tc>
          <w:tcPr>
            <w:tcW w:w="539" w:type="pct"/>
            <w:tcBorders>
              <w:left w:val="single" w:color="000000" w:sz="6" w:space="0"/>
              <w:bottom w:val="single" w:color="000000" w:sz="6" w:space="0"/>
              <w:right w:val="single" w:color="000000" w:sz="6" w:space="0"/>
            </w:tcBorders>
            <w:vAlign w:val="center"/>
          </w:tcPr>
          <w:p>
            <w:pPr>
              <w:keepNext w:val="0"/>
              <w:keepLines w:val="0"/>
              <w:widowControl w:val="0"/>
              <w:suppressLineNumbers w:val="0"/>
              <w:spacing w:before="0" w:beforeAutospacing="0" w:after="0" w:afterAutospacing="0" w:line="274" w:lineRule="exact"/>
              <w:ind w:left="0" w:right="4"/>
              <w:jc w:val="center"/>
              <w:rPr>
                <w:rFonts w:hint="default" w:ascii="Times New Roman" w:hAnsi="Times New Roman" w:eastAsia="宋体" w:cs="Times New Roman"/>
                <w:b/>
                <w:bCs/>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14:textFill>
                  <w14:solidFill>
                    <w14:schemeClr w14:val="tx1"/>
                  </w14:solidFill>
                </w14:textFill>
              </w:rPr>
              <w:t>设备名称</w:t>
            </w:r>
          </w:p>
        </w:tc>
        <w:tc>
          <w:tcPr>
            <w:tcW w:w="835" w:type="pct"/>
            <w:tcBorders>
              <w:left w:val="single" w:color="000000" w:sz="6" w:space="0"/>
              <w:bottom w:val="single" w:color="000000" w:sz="6" w:space="0"/>
              <w:right w:val="single" w:color="000000" w:sz="8" w:space="0"/>
            </w:tcBorders>
            <w:vAlign w:val="center"/>
          </w:tcPr>
          <w:p>
            <w:pPr>
              <w:keepNext w:val="0"/>
              <w:keepLines w:val="0"/>
              <w:widowControl w:val="0"/>
              <w:suppressLineNumbers w:val="0"/>
              <w:spacing w:before="0" w:beforeAutospacing="0" w:after="0" w:afterAutospacing="0" w:line="274" w:lineRule="exact"/>
              <w:ind w:left="0" w:right="4" w:rightChars="0"/>
              <w:jc w:val="center"/>
              <w:rPr>
                <w:rFonts w:hint="default" w:ascii="Times New Roman" w:hAnsi="Times New Roman" w:eastAsia="宋体" w:cs="Times New Roman"/>
                <w:b/>
                <w:bCs/>
                <w:color w:val="000000" w:themeColor="text1"/>
                <w:sz w:val="21"/>
                <w:szCs w:val="21"/>
                <w:u w:val="single"/>
                <w:lang w:val="en-US" w:eastAsia="zh-CN"/>
                <w14:textFill>
                  <w14:solidFill>
                    <w14:schemeClr w14:val="tx1"/>
                  </w14:solidFill>
                </w14:textFill>
              </w:rPr>
            </w:pPr>
            <w:r>
              <w:rPr>
                <w:rFonts w:hint="eastAsia" w:cs="Times New Roman"/>
                <w:b/>
                <w:bCs/>
                <w:color w:val="000000" w:themeColor="text1"/>
                <w:sz w:val="21"/>
                <w:szCs w:val="21"/>
                <w:u w:val="single"/>
                <w:lang w:eastAsia="zh-CN"/>
                <w14:textFill>
                  <w14:solidFill>
                    <w14:schemeClr w14:val="tx1"/>
                  </w14:solidFill>
                </w14:textFill>
              </w:rPr>
              <w:t>电压</w:t>
            </w:r>
            <w:r>
              <w:rPr>
                <w:rFonts w:hint="eastAsia" w:cs="Times New Roman"/>
                <w:b/>
                <w:bCs/>
                <w:color w:val="000000" w:themeColor="text1"/>
                <w:sz w:val="21"/>
                <w:szCs w:val="21"/>
                <w:u w:val="single"/>
                <w:lang w:val="en-US" w:eastAsia="zh-CN"/>
                <w14:textFill>
                  <w14:solidFill>
                    <w14:schemeClr w14:val="tx1"/>
                  </w14:solidFill>
                </w14:textFill>
              </w:rPr>
              <w:t>U（kV）</w:t>
            </w:r>
          </w:p>
        </w:tc>
        <w:tc>
          <w:tcPr>
            <w:tcW w:w="720" w:type="pct"/>
            <w:tcBorders>
              <w:left w:val="single" w:color="000000" w:sz="6" w:space="0"/>
              <w:bottom w:val="single" w:color="000000" w:sz="6" w:space="0"/>
              <w:right w:val="single" w:color="000000" w:sz="8" w:space="0"/>
            </w:tcBorders>
            <w:vAlign w:val="center"/>
          </w:tcPr>
          <w:p>
            <w:pPr>
              <w:keepNext w:val="0"/>
              <w:keepLines w:val="0"/>
              <w:widowControl w:val="0"/>
              <w:suppressLineNumbers w:val="0"/>
              <w:spacing w:before="0" w:beforeAutospacing="0" w:after="0" w:afterAutospacing="0" w:line="274" w:lineRule="exact"/>
              <w:ind w:left="0" w:right="4" w:rightChars="0"/>
              <w:jc w:val="center"/>
              <w:rPr>
                <w:rFonts w:hint="default" w:ascii="Times New Roman" w:hAnsi="Times New Roman" w:eastAsia="宋体" w:cs="Times New Roman"/>
                <w:b/>
                <w:bCs/>
                <w:color w:val="000000" w:themeColor="text1"/>
                <w:sz w:val="21"/>
                <w:szCs w:val="21"/>
                <w:u w:val="single"/>
                <w:lang w:val="en-US" w:eastAsia="zh-CN"/>
                <w14:textFill>
                  <w14:solidFill>
                    <w14:schemeClr w14:val="tx1"/>
                  </w14:solidFill>
                </w14:textFill>
              </w:rPr>
            </w:pPr>
            <w:r>
              <w:rPr>
                <w:rFonts w:hint="eastAsia" w:cs="Times New Roman"/>
                <w:b/>
                <w:bCs/>
                <w:color w:val="000000" w:themeColor="text1"/>
                <w:sz w:val="21"/>
                <w:szCs w:val="21"/>
                <w:u w:val="single"/>
                <w:lang w:val="en-US" w:eastAsia="zh-CN"/>
                <w14:textFill>
                  <w14:solidFill>
                    <w14:schemeClr w14:val="tx1"/>
                  </w14:solidFill>
                </w14:textFill>
              </w:rPr>
              <w:t>电流I（A）</w:t>
            </w:r>
          </w:p>
        </w:tc>
        <w:tc>
          <w:tcPr>
            <w:tcW w:w="795" w:type="pct"/>
            <w:tcBorders>
              <w:left w:val="single" w:color="000000" w:sz="6" w:space="0"/>
              <w:bottom w:val="single" w:color="000000" w:sz="6" w:space="0"/>
            </w:tcBorders>
            <w:vAlign w:val="center"/>
          </w:tcPr>
          <w:p>
            <w:pPr>
              <w:keepNext w:val="0"/>
              <w:keepLines w:val="0"/>
              <w:widowControl w:val="0"/>
              <w:suppressLineNumbers w:val="0"/>
              <w:spacing w:before="0" w:beforeAutospacing="0" w:after="0" w:afterAutospacing="0" w:line="274" w:lineRule="exact"/>
              <w:ind w:left="0" w:leftChars="0" w:right="4" w:rightChars="0"/>
              <w:jc w:val="center"/>
              <w:rPr>
                <w:rFonts w:hint="default" w:ascii="Times New Roman" w:hAnsi="Times New Roman" w:eastAsia="宋体" w:cs="Times New Roman"/>
                <w:b/>
                <w:bCs/>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u w:val="single"/>
                <w14:textFill>
                  <w14:solidFill>
                    <w14:schemeClr w14:val="tx1"/>
                  </w14:solidFill>
                </w14:textFill>
              </w:rPr>
              <w:t>有功（MW）</w:t>
            </w:r>
          </w:p>
        </w:tc>
        <w:tc>
          <w:tcPr>
            <w:tcW w:w="856" w:type="pct"/>
            <w:tcBorders>
              <w:left w:val="single" w:color="000000" w:sz="6" w:space="0"/>
              <w:bottom w:val="single" w:color="000000" w:sz="6" w:space="0"/>
            </w:tcBorders>
            <w:vAlign w:val="center"/>
          </w:tcPr>
          <w:p>
            <w:pPr>
              <w:keepNext w:val="0"/>
              <w:keepLines w:val="0"/>
              <w:widowControl w:val="0"/>
              <w:suppressLineNumbers w:val="0"/>
              <w:spacing w:before="0" w:beforeAutospacing="0" w:after="0" w:afterAutospacing="0" w:line="274" w:lineRule="exact"/>
              <w:ind w:left="0" w:right="4"/>
              <w:jc w:val="center"/>
              <w:rPr>
                <w:rFonts w:hint="default" w:ascii="Times New Roman" w:hAnsi="Times New Roman" w:eastAsia="宋体" w:cs="Times New Roman"/>
                <w:b/>
                <w:bCs/>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14:textFill>
                  <w14:solidFill>
                    <w14:schemeClr w14:val="tx1"/>
                  </w14:solidFill>
                </w14:textFill>
              </w:rPr>
              <w:t>无功（Mvar）</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trPr>
        <w:tc>
          <w:tcPr>
            <w:tcW w:w="1252" w:type="pct"/>
            <w:vMerge w:val="restart"/>
            <w:tcBorders>
              <w:top w:val="single" w:color="000000" w:sz="6" w:space="0"/>
              <w:right w:val="single" w:color="000000" w:sz="6" w:space="0"/>
            </w:tcBorders>
            <w:vAlign w:val="center"/>
          </w:tcPr>
          <w:p>
            <w:pPr>
              <w:keepNext w:val="0"/>
              <w:keepLines w:val="0"/>
              <w:widowControl w:val="0"/>
              <w:suppressLineNumbers w:val="0"/>
              <w:spacing w:before="0" w:beforeAutospacing="0" w:after="0" w:afterAutospacing="0" w:line="274" w:lineRule="exact"/>
              <w:ind w:left="0" w:right="4"/>
              <w:jc w:val="center"/>
              <w:rPr>
                <w:rFonts w:hint="default" w:ascii="Times New Roman" w:hAnsi="Times New Roman" w:eastAsia="宋体" w:cs="Times New Roman"/>
                <w:b w:val="0"/>
                <w:bCs w:val="0"/>
                <w:color w:val="000000" w:themeColor="text1"/>
                <w:sz w:val="21"/>
                <w:szCs w:val="21"/>
                <w:u w:val="single"/>
                <w14:textFill>
                  <w14:solidFill>
                    <w14:schemeClr w14:val="tx1"/>
                  </w14:solidFill>
                </w14:textFill>
              </w:rPr>
            </w:pPr>
            <w:r>
              <w:rPr>
                <w:rFonts w:hint="eastAsia" w:ascii="宋体" w:hAnsi="宋体" w:eastAsia="宋体"/>
                <w:color w:val="000000" w:themeColor="text1"/>
                <w:sz w:val="21"/>
                <w:szCs w:val="24"/>
                <w14:textFill>
                  <w14:solidFill>
                    <w14:schemeClr w14:val="tx1"/>
                  </w14:solidFill>
                </w14:textFill>
              </w:rPr>
              <w:t>水渡河</w:t>
            </w:r>
            <w:r>
              <w:rPr>
                <w:rFonts w:hint="eastAsia" w:ascii="TimesNewRomanPSMT" w:hAnsi="TimesNewRomanPSMT" w:eastAsia="TimesNewRomanPSMT"/>
                <w:color w:val="000000" w:themeColor="text1"/>
                <w:sz w:val="21"/>
                <w:szCs w:val="24"/>
                <w14:textFill>
                  <w14:solidFill>
                    <w14:schemeClr w14:val="tx1"/>
                  </w14:solidFill>
                </w14:textFill>
              </w:rPr>
              <w:t xml:space="preserve">110kV </w:t>
            </w:r>
            <w:r>
              <w:rPr>
                <w:rFonts w:hint="eastAsia" w:ascii="宋体" w:hAnsi="宋体" w:eastAsia="宋体"/>
                <w:color w:val="000000" w:themeColor="text1"/>
                <w:sz w:val="21"/>
                <w:szCs w:val="24"/>
                <w14:textFill>
                  <w14:solidFill>
                    <w14:schemeClr w14:val="tx1"/>
                  </w14:solidFill>
                </w14:textFill>
              </w:rPr>
              <w:t>变电站</w:t>
            </w:r>
          </w:p>
        </w:tc>
        <w:tc>
          <w:tcPr>
            <w:tcW w:w="539" w:type="pct"/>
            <w:tcBorders>
              <w:top w:val="single" w:color="000000" w:sz="6" w:space="0"/>
              <w:left w:val="single" w:color="000000" w:sz="6" w:space="0"/>
              <w:bottom w:val="single" w:color="000000" w:sz="6" w:space="0"/>
              <w:right w:val="single" w:color="000000" w:sz="6" w:space="0"/>
            </w:tcBorders>
            <w:vAlign w:val="center"/>
          </w:tcPr>
          <w:p>
            <w:pPr>
              <w:keepNext w:val="0"/>
              <w:keepLines w:val="0"/>
              <w:widowControl w:val="0"/>
              <w:suppressLineNumbers w:val="0"/>
              <w:spacing w:before="0" w:beforeAutospacing="0" w:after="0" w:afterAutospacing="0" w:line="274" w:lineRule="exact"/>
              <w:ind w:left="0" w:right="4"/>
              <w:jc w:val="center"/>
              <w:rPr>
                <w:rFonts w:hint="default" w:ascii="Times New Roman" w:hAnsi="Times New Roman" w:eastAsia="宋体" w:cs="Times New Roman"/>
                <w:b w:val="0"/>
                <w:bCs w:val="0"/>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14:textFill>
                  <w14:solidFill>
                    <w14:schemeClr w14:val="tx1"/>
                  </w14:solidFill>
                </w14:textFill>
              </w:rPr>
              <w:t>1 号主变</w:t>
            </w:r>
          </w:p>
        </w:tc>
        <w:tc>
          <w:tcPr>
            <w:tcW w:w="835" w:type="pct"/>
            <w:tcBorders>
              <w:top w:val="single" w:color="000000" w:sz="6" w:space="0"/>
              <w:left w:val="single" w:color="000000" w:sz="6" w:space="0"/>
              <w:bottom w:val="single" w:color="000000" w:sz="6" w:space="0"/>
              <w:right w:val="single" w:color="000000" w:sz="8" w:space="0"/>
            </w:tcBorders>
            <w:vAlign w:val="center"/>
          </w:tcPr>
          <w:p>
            <w:pPr>
              <w:keepNext w:val="0"/>
              <w:keepLines w:val="0"/>
              <w:widowControl w:val="0"/>
              <w:suppressLineNumbers w:val="0"/>
              <w:spacing w:before="0" w:beforeAutospacing="0" w:after="0" w:afterAutospacing="0" w:line="274" w:lineRule="exact"/>
              <w:ind w:left="0" w:right="4" w:rightChars="0"/>
              <w:jc w:val="center"/>
              <w:rPr>
                <w:rFonts w:hint="default" w:cs="Times New Roman"/>
                <w:b w:val="0"/>
                <w:bCs w:val="0"/>
                <w:color w:val="000000" w:themeColor="text1"/>
                <w:kern w:val="2"/>
                <w:sz w:val="21"/>
                <w:szCs w:val="21"/>
                <w:u w:val="single"/>
                <w:lang w:val="en-US" w:eastAsia="zh-CN" w:bidi="ar-SA"/>
                <w14:textFill>
                  <w14:solidFill>
                    <w14:schemeClr w14:val="tx1"/>
                  </w14:solidFill>
                </w14:textFill>
              </w:rPr>
            </w:pPr>
            <w:r>
              <w:rPr>
                <w:rFonts w:hint="eastAsia" w:cs="Times New Roman"/>
                <w:b w:val="0"/>
                <w:bCs w:val="0"/>
                <w:color w:val="000000" w:themeColor="text1"/>
                <w:kern w:val="2"/>
                <w:sz w:val="21"/>
                <w:szCs w:val="21"/>
                <w:u w:val="single"/>
                <w:lang w:val="en-US" w:eastAsia="zh-CN" w:bidi="ar-SA"/>
                <w14:textFill>
                  <w14:solidFill>
                    <w14:schemeClr w14:val="tx1"/>
                  </w14:solidFill>
                </w14:textFill>
              </w:rPr>
              <w:t>116.2</w:t>
            </w:r>
          </w:p>
        </w:tc>
        <w:tc>
          <w:tcPr>
            <w:tcW w:w="720" w:type="pct"/>
            <w:tcBorders>
              <w:top w:val="single" w:color="000000" w:sz="6" w:space="0"/>
              <w:left w:val="single" w:color="000000" w:sz="6" w:space="0"/>
              <w:bottom w:val="single" w:color="000000" w:sz="6" w:space="0"/>
              <w:right w:val="single" w:color="000000" w:sz="8" w:space="0"/>
            </w:tcBorders>
            <w:vAlign w:val="center"/>
          </w:tcPr>
          <w:p>
            <w:pPr>
              <w:keepNext w:val="0"/>
              <w:keepLines w:val="0"/>
              <w:widowControl w:val="0"/>
              <w:suppressLineNumbers w:val="0"/>
              <w:spacing w:before="0" w:beforeAutospacing="0" w:after="0" w:afterAutospacing="0" w:line="274" w:lineRule="exact"/>
              <w:ind w:left="0" w:right="4" w:rightChars="0"/>
              <w:jc w:val="center"/>
              <w:rPr>
                <w:rFonts w:hint="default" w:cs="Times New Roman"/>
                <w:b w:val="0"/>
                <w:bCs w:val="0"/>
                <w:color w:val="000000" w:themeColor="text1"/>
                <w:kern w:val="2"/>
                <w:sz w:val="21"/>
                <w:szCs w:val="21"/>
                <w:u w:val="single"/>
                <w:lang w:val="en-US" w:eastAsia="zh-CN" w:bidi="ar-SA"/>
                <w14:textFill>
                  <w14:solidFill>
                    <w14:schemeClr w14:val="tx1"/>
                  </w14:solidFill>
                </w14:textFill>
              </w:rPr>
            </w:pPr>
            <w:r>
              <w:rPr>
                <w:rFonts w:hint="eastAsia" w:cs="Times New Roman"/>
                <w:b w:val="0"/>
                <w:bCs w:val="0"/>
                <w:color w:val="000000" w:themeColor="text1"/>
                <w:kern w:val="2"/>
                <w:sz w:val="21"/>
                <w:szCs w:val="21"/>
                <w:u w:val="single"/>
                <w:lang w:val="en-US" w:eastAsia="zh-CN" w:bidi="ar-SA"/>
                <w14:textFill>
                  <w14:solidFill>
                    <w14:schemeClr w14:val="tx1"/>
                  </w14:solidFill>
                </w14:textFill>
              </w:rPr>
              <w:t>100.9</w:t>
            </w:r>
          </w:p>
        </w:tc>
        <w:tc>
          <w:tcPr>
            <w:tcW w:w="795" w:type="pct"/>
            <w:tcBorders>
              <w:top w:val="single" w:color="000000" w:sz="6" w:space="0"/>
              <w:left w:val="single" w:color="000000" w:sz="6" w:space="0"/>
              <w:bottom w:val="single" w:color="000000" w:sz="6" w:space="0"/>
            </w:tcBorders>
            <w:vAlign w:val="center"/>
          </w:tcPr>
          <w:p>
            <w:pPr>
              <w:keepNext w:val="0"/>
              <w:keepLines w:val="0"/>
              <w:widowControl w:val="0"/>
              <w:suppressLineNumbers w:val="0"/>
              <w:spacing w:before="0" w:beforeAutospacing="0" w:after="0" w:afterAutospacing="0" w:line="274" w:lineRule="exact"/>
              <w:ind w:left="0" w:leftChars="0" w:right="4" w:rightChars="0"/>
              <w:jc w:val="center"/>
              <w:rPr>
                <w:rFonts w:hint="eastAsia" w:ascii="Times New Roman" w:hAnsi="Times New Roman" w:eastAsia="宋体" w:cs="Times New Roman"/>
                <w:b w:val="0"/>
                <w:bCs w:val="0"/>
                <w:color w:val="000000" w:themeColor="text1"/>
                <w:kern w:val="2"/>
                <w:sz w:val="21"/>
                <w:szCs w:val="21"/>
                <w:u w:val="single"/>
                <w:lang w:val="en-US" w:eastAsia="zh-CN" w:bidi="ar-SA"/>
                <w14:textFill>
                  <w14:solidFill>
                    <w14:schemeClr w14:val="tx1"/>
                  </w14:solidFill>
                </w14:textFill>
              </w:rPr>
            </w:pPr>
            <w:r>
              <w:rPr>
                <w:rFonts w:hint="eastAsia" w:cs="Times New Roman"/>
                <w:b w:val="0"/>
                <w:bCs w:val="0"/>
                <w:color w:val="000000" w:themeColor="text1"/>
                <w:kern w:val="2"/>
                <w:sz w:val="21"/>
                <w:szCs w:val="21"/>
                <w:u w:val="single"/>
                <w:lang w:val="en-US" w:eastAsia="zh-CN" w:bidi="ar-SA"/>
                <w14:textFill>
                  <w14:solidFill>
                    <w14:schemeClr w14:val="tx1"/>
                  </w14:solidFill>
                </w14:textFill>
              </w:rPr>
              <w:t>20.1</w:t>
            </w:r>
          </w:p>
        </w:tc>
        <w:tc>
          <w:tcPr>
            <w:tcW w:w="856" w:type="pct"/>
            <w:tcBorders>
              <w:top w:val="single" w:color="000000" w:sz="6" w:space="0"/>
              <w:left w:val="single" w:color="000000" w:sz="6" w:space="0"/>
              <w:bottom w:val="single" w:color="000000" w:sz="6" w:space="0"/>
            </w:tcBorders>
            <w:vAlign w:val="center"/>
          </w:tcPr>
          <w:p>
            <w:pPr>
              <w:keepNext w:val="0"/>
              <w:keepLines w:val="0"/>
              <w:widowControl w:val="0"/>
              <w:suppressLineNumbers w:val="0"/>
              <w:spacing w:before="0" w:beforeAutospacing="0" w:after="0" w:afterAutospacing="0" w:line="274" w:lineRule="exact"/>
              <w:ind w:left="0" w:right="4"/>
              <w:jc w:val="center"/>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3.4</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trPr>
        <w:tc>
          <w:tcPr>
            <w:tcW w:w="1252" w:type="pct"/>
            <w:vMerge w:val="continue"/>
            <w:tcBorders>
              <w:right w:val="single" w:color="000000" w:sz="6" w:space="0"/>
            </w:tcBorders>
            <w:vAlign w:val="center"/>
          </w:tcPr>
          <w:p>
            <w:pPr>
              <w:keepNext w:val="0"/>
              <w:keepLines w:val="0"/>
              <w:widowControl w:val="0"/>
              <w:suppressLineNumbers w:val="0"/>
              <w:spacing w:before="0" w:beforeAutospacing="0" w:after="0" w:afterAutospacing="0" w:line="274" w:lineRule="exact"/>
              <w:ind w:left="0" w:right="4"/>
              <w:jc w:val="center"/>
              <w:rPr>
                <w:rFonts w:hint="default" w:ascii="Times New Roman" w:hAnsi="Times New Roman" w:eastAsia="宋体" w:cs="Times New Roman"/>
                <w:b w:val="0"/>
                <w:bCs w:val="0"/>
                <w:color w:val="000000" w:themeColor="text1"/>
                <w:sz w:val="21"/>
                <w:szCs w:val="21"/>
                <w:u w:val="single"/>
                <w:lang w:eastAsia="zh-CN"/>
                <w14:textFill>
                  <w14:solidFill>
                    <w14:schemeClr w14:val="tx1"/>
                  </w14:solidFill>
                </w14:textFill>
              </w:rPr>
            </w:pPr>
          </w:p>
        </w:tc>
        <w:tc>
          <w:tcPr>
            <w:tcW w:w="539" w:type="pct"/>
            <w:tcBorders>
              <w:top w:val="single" w:color="000000" w:sz="6" w:space="0"/>
              <w:left w:val="single" w:color="000000" w:sz="6" w:space="0"/>
              <w:bottom w:val="single" w:color="000000" w:sz="6" w:space="0"/>
              <w:right w:val="single" w:color="000000" w:sz="6" w:space="0"/>
            </w:tcBorders>
            <w:vAlign w:val="center"/>
          </w:tcPr>
          <w:p>
            <w:pPr>
              <w:keepNext w:val="0"/>
              <w:keepLines w:val="0"/>
              <w:widowControl w:val="0"/>
              <w:suppressLineNumbers w:val="0"/>
              <w:spacing w:before="0" w:beforeAutospacing="0" w:after="0" w:afterAutospacing="0" w:line="274" w:lineRule="exact"/>
              <w:ind w:left="0" w:right="4"/>
              <w:jc w:val="center"/>
              <w:rPr>
                <w:rFonts w:hint="default" w:ascii="Times New Roman" w:hAnsi="Times New Roman" w:eastAsia="宋体" w:cs="Times New Roman"/>
                <w:b w:val="0"/>
                <w:bCs w:val="0"/>
                <w:color w:val="000000" w:themeColor="text1"/>
                <w:sz w:val="21"/>
                <w:szCs w:val="21"/>
                <w:u w:val="single"/>
                <w14:textFill>
                  <w14:solidFill>
                    <w14:schemeClr w14:val="tx1"/>
                  </w14:solidFill>
                </w14:textFill>
              </w:rPr>
            </w:pPr>
            <w:r>
              <w:rPr>
                <w:rFonts w:hint="eastAsia"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u w:val="single"/>
                <w14:textFill>
                  <w14:solidFill>
                    <w14:schemeClr w14:val="tx1"/>
                  </w14:solidFill>
                </w14:textFill>
              </w:rPr>
              <w:t xml:space="preserve"> 号主变</w:t>
            </w:r>
          </w:p>
        </w:tc>
        <w:tc>
          <w:tcPr>
            <w:tcW w:w="835" w:type="pct"/>
            <w:tcBorders>
              <w:top w:val="single" w:color="000000" w:sz="6" w:space="0"/>
              <w:left w:val="single" w:color="000000" w:sz="6" w:space="0"/>
              <w:bottom w:val="single" w:color="000000" w:sz="6" w:space="0"/>
              <w:right w:val="single" w:color="000000" w:sz="8" w:space="0"/>
            </w:tcBorders>
            <w:vAlign w:val="center"/>
          </w:tcPr>
          <w:p>
            <w:pPr>
              <w:keepNext w:val="0"/>
              <w:keepLines w:val="0"/>
              <w:widowControl w:val="0"/>
              <w:suppressLineNumbers w:val="0"/>
              <w:spacing w:before="0" w:beforeAutospacing="0" w:after="0" w:afterAutospacing="0" w:line="274" w:lineRule="exact"/>
              <w:ind w:left="0" w:right="4" w:rightChars="0"/>
              <w:jc w:val="center"/>
              <w:rPr>
                <w:rFonts w:hint="default"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116.0</w:t>
            </w:r>
          </w:p>
        </w:tc>
        <w:tc>
          <w:tcPr>
            <w:tcW w:w="720" w:type="pct"/>
            <w:tcBorders>
              <w:top w:val="single" w:color="000000" w:sz="6" w:space="0"/>
              <w:left w:val="single" w:color="000000" w:sz="6" w:space="0"/>
              <w:bottom w:val="single" w:color="000000" w:sz="6" w:space="0"/>
              <w:right w:val="single" w:color="000000" w:sz="8" w:space="0"/>
            </w:tcBorders>
            <w:vAlign w:val="center"/>
          </w:tcPr>
          <w:p>
            <w:pPr>
              <w:keepNext w:val="0"/>
              <w:keepLines w:val="0"/>
              <w:widowControl w:val="0"/>
              <w:suppressLineNumbers w:val="0"/>
              <w:spacing w:before="0" w:beforeAutospacing="0" w:after="0" w:afterAutospacing="0" w:line="274" w:lineRule="exact"/>
              <w:ind w:left="0" w:right="4" w:rightChars="0"/>
              <w:jc w:val="center"/>
              <w:rPr>
                <w:rFonts w:hint="default"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63.5</w:t>
            </w:r>
          </w:p>
        </w:tc>
        <w:tc>
          <w:tcPr>
            <w:tcW w:w="795" w:type="pct"/>
            <w:tcBorders>
              <w:top w:val="single" w:color="000000" w:sz="6" w:space="0"/>
              <w:left w:val="single" w:color="000000" w:sz="6" w:space="0"/>
              <w:bottom w:val="single" w:color="000000" w:sz="6" w:space="0"/>
            </w:tcBorders>
            <w:vAlign w:val="center"/>
          </w:tcPr>
          <w:p>
            <w:pPr>
              <w:keepNext w:val="0"/>
              <w:keepLines w:val="0"/>
              <w:widowControl w:val="0"/>
              <w:suppressLineNumbers w:val="0"/>
              <w:spacing w:before="0" w:beforeAutospacing="0" w:after="0" w:afterAutospacing="0" w:line="274" w:lineRule="exact"/>
              <w:ind w:left="0" w:leftChars="0" w:right="4" w:rightChars="0"/>
              <w:jc w:val="center"/>
              <w:rPr>
                <w:rFonts w:hint="eastAsia" w:ascii="Times New Roman" w:hAnsi="Times New Roman" w:eastAsia="宋体" w:cs="Times New Roman"/>
                <w:b w:val="0"/>
                <w:bCs w:val="0"/>
                <w:color w:val="000000" w:themeColor="text1"/>
                <w:kern w:val="2"/>
                <w:sz w:val="21"/>
                <w:szCs w:val="21"/>
                <w:u w:val="single"/>
                <w:lang w:val="en-US" w:eastAsia="zh-CN" w:bidi="ar-SA"/>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12.7</w:t>
            </w:r>
          </w:p>
        </w:tc>
        <w:tc>
          <w:tcPr>
            <w:tcW w:w="856" w:type="pct"/>
            <w:tcBorders>
              <w:top w:val="single" w:color="000000" w:sz="6" w:space="0"/>
              <w:left w:val="single" w:color="000000" w:sz="6" w:space="0"/>
              <w:bottom w:val="single" w:color="000000" w:sz="6" w:space="0"/>
            </w:tcBorders>
            <w:vAlign w:val="center"/>
          </w:tcPr>
          <w:p>
            <w:pPr>
              <w:keepNext w:val="0"/>
              <w:keepLines w:val="0"/>
              <w:widowControl w:val="0"/>
              <w:suppressLineNumbers w:val="0"/>
              <w:spacing w:before="0" w:beforeAutospacing="0" w:after="0" w:afterAutospacing="0" w:line="274" w:lineRule="exact"/>
              <w:ind w:left="0" w:right="4"/>
              <w:jc w:val="center"/>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2.6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1252" w:type="pct"/>
            <w:vMerge w:val="continue"/>
            <w:tcBorders>
              <w:right w:val="single" w:color="000000" w:sz="6" w:space="0"/>
            </w:tcBorders>
            <w:vAlign w:val="center"/>
          </w:tcPr>
          <w:p>
            <w:pPr>
              <w:keepNext w:val="0"/>
              <w:keepLines w:val="0"/>
              <w:widowControl w:val="0"/>
              <w:suppressLineNumbers w:val="0"/>
              <w:spacing w:before="0" w:beforeAutospacing="0" w:after="0" w:afterAutospacing="0" w:line="274" w:lineRule="exact"/>
              <w:ind w:left="0" w:right="4"/>
              <w:jc w:val="center"/>
              <w:rPr>
                <w:rFonts w:hint="default" w:ascii="Times New Roman" w:hAnsi="Times New Roman" w:eastAsia="宋体" w:cs="Times New Roman"/>
                <w:b w:val="0"/>
                <w:bCs w:val="0"/>
                <w:color w:val="000000" w:themeColor="text1"/>
                <w:sz w:val="21"/>
                <w:szCs w:val="21"/>
                <w:u w:val="single"/>
                <w:lang w:eastAsia="zh-CN"/>
                <w14:textFill>
                  <w14:solidFill>
                    <w14:schemeClr w14:val="tx1"/>
                  </w14:solidFill>
                </w14:textFill>
              </w:rPr>
            </w:pPr>
          </w:p>
        </w:tc>
        <w:tc>
          <w:tcPr>
            <w:tcW w:w="539" w:type="pct"/>
            <w:tcBorders>
              <w:top w:val="single" w:color="000000" w:sz="6" w:space="0"/>
              <w:left w:val="single" w:color="000000" w:sz="6" w:space="0"/>
              <w:right w:val="single" w:color="000000" w:sz="6" w:space="0"/>
            </w:tcBorders>
            <w:vAlign w:val="center"/>
          </w:tcPr>
          <w:p>
            <w:pPr>
              <w:keepNext w:val="0"/>
              <w:keepLines w:val="0"/>
              <w:widowControl w:val="0"/>
              <w:suppressLineNumbers w:val="0"/>
              <w:spacing w:before="0" w:beforeAutospacing="0" w:after="0" w:afterAutospacing="0" w:line="274" w:lineRule="exact"/>
              <w:ind w:left="0" w:right="4"/>
              <w:jc w:val="center"/>
              <w:rPr>
                <w:rFonts w:hint="default" w:ascii="Times New Roman" w:hAnsi="Times New Roman" w:eastAsia="宋体" w:cs="Times New Roman"/>
                <w:b w:val="0"/>
                <w:bCs w:val="0"/>
                <w:color w:val="000000" w:themeColor="text1"/>
                <w:sz w:val="21"/>
                <w:szCs w:val="21"/>
                <w:u w:val="single"/>
                <w14:textFill>
                  <w14:solidFill>
                    <w14:schemeClr w14:val="tx1"/>
                  </w14:solidFill>
                </w14:textFill>
              </w:rPr>
            </w:pPr>
            <w:r>
              <w:rPr>
                <w:rFonts w:hint="eastAsia"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u w:val="single"/>
                <w14:textFill>
                  <w14:solidFill>
                    <w14:schemeClr w14:val="tx1"/>
                  </w14:solidFill>
                </w14:textFill>
              </w:rPr>
              <w:t xml:space="preserve"> 号主变</w:t>
            </w:r>
          </w:p>
        </w:tc>
        <w:tc>
          <w:tcPr>
            <w:tcW w:w="835" w:type="pct"/>
            <w:tcBorders>
              <w:top w:val="single" w:color="000000" w:sz="6" w:space="0"/>
              <w:left w:val="single" w:color="000000" w:sz="6" w:space="0"/>
              <w:right w:val="single" w:color="000000" w:sz="8" w:space="0"/>
            </w:tcBorders>
            <w:vAlign w:val="center"/>
          </w:tcPr>
          <w:p>
            <w:pPr>
              <w:keepNext w:val="0"/>
              <w:keepLines w:val="0"/>
              <w:widowControl w:val="0"/>
              <w:suppressLineNumbers w:val="0"/>
              <w:spacing w:before="0" w:beforeAutospacing="0" w:after="0" w:afterAutospacing="0" w:line="274" w:lineRule="exact"/>
              <w:ind w:left="0" w:right="4" w:rightChars="0"/>
              <w:jc w:val="center"/>
              <w:rPr>
                <w:rFonts w:hint="default"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116.2</w:t>
            </w:r>
          </w:p>
        </w:tc>
        <w:tc>
          <w:tcPr>
            <w:tcW w:w="720" w:type="pct"/>
            <w:tcBorders>
              <w:top w:val="single" w:color="000000" w:sz="6" w:space="0"/>
              <w:left w:val="single" w:color="000000" w:sz="6" w:space="0"/>
              <w:right w:val="single" w:color="000000" w:sz="8" w:space="0"/>
            </w:tcBorders>
            <w:vAlign w:val="center"/>
          </w:tcPr>
          <w:p>
            <w:pPr>
              <w:keepNext w:val="0"/>
              <w:keepLines w:val="0"/>
              <w:widowControl w:val="0"/>
              <w:suppressLineNumbers w:val="0"/>
              <w:spacing w:before="0" w:beforeAutospacing="0" w:after="0" w:afterAutospacing="0" w:line="274" w:lineRule="exact"/>
              <w:ind w:left="0" w:right="4" w:rightChars="0"/>
              <w:jc w:val="center"/>
              <w:rPr>
                <w:rFonts w:hint="default"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25.3</w:t>
            </w:r>
          </w:p>
        </w:tc>
        <w:tc>
          <w:tcPr>
            <w:tcW w:w="795" w:type="pct"/>
            <w:tcBorders>
              <w:top w:val="single" w:color="000000" w:sz="6" w:space="0"/>
              <w:left w:val="single" w:color="000000" w:sz="6" w:space="0"/>
            </w:tcBorders>
            <w:vAlign w:val="center"/>
          </w:tcPr>
          <w:p>
            <w:pPr>
              <w:keepNext w:val="0"/>
              <w:keepLines w:val="0"/>
              <w:widowControl w:val="0"/>
              <w:suppressLineNumbers w:val="0"/>
              <w:spacing w:before="0" w:beforeAutospacing="0" w:after="0" w:afterAutospacing="0" w:line="274" w:lineRule="exact"/>
              <w:ind w:left="0" w:leftChars="0" w:right="4" w:rightChars="0"/>
              <w:jc w:val="center"/>
              <w:rPr>
                <w:rFonts w:hint="eastAsia" w:ascii="Times New Roman" w:hAnsi="Times New Roman" w:eastAsia="宋体" w:cs="Times New Roman"/>
                <w:b w:val="0"/>
                <w:bCs w:val="0"/>
                <w:color w:val="000000" w:themeColor="text1"/>
                <w:kern w:val="2"/>
                <w:sz w:val="21"/>
                <w:szCs w:val="21"/>
                <w:u w:val="single"/>
                <w:lang w:val="en-US" w:eastAsia="zh-CN" w:bidi="ar-SA"/>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2.8</w:t>
            </w:r>
          </w:p>
        </w:tc>
        <w:tc>
          <w:tcPr>
            <w:tcW w:w="856" w:type="pct"/>
            <w:tcBorders>
              <w:top w:val="single" w:color="000000" w:sz="6" w:space="0"/>
              <w:left w:val="single" w:color="000000" w:sz="6" w:space="0"/>
            </w:tcBorders>
            <w:vAlign w:val="center"/>
          </w:tcPr>
          <w:p>
            <w:pPr>
              <w:keepNext w:val="0"/>
              <w:keepLines w:val="0"/>
              <w:widowControl w:val="0"/>
              <w:suppressLineNumbers w:val="0"/>
              <w:spacing w:before="0" w:beforeAutospacing="0" w:after="0" w:afterAutospacing="0" w:line="274" w:lineRule="exact"/>
              <w:ind w:left="0" w:right="4"/>
              <w:jc w:val="center"/>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1.4</w:t>
            </w:r>
          </w:p>
        </w:tc>
      </w:tr>
    </w:tbl>
    <w:p>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u w:val="single"/>
          <w:lang w:val="en-US" w:eastAsia="en-US"/>
          <w14:textFill>
            <w14:solidFill>
              <w14:schemeClr w14:val="tx1"/>
            </w14:solidFill>
          </w14:textFill>
        </w:rPr>
      </w:pPr>
      <w:r>
        <w:rPr>
          <w:rFonts w:hint="default" w:ascii="Times New Roman" w:hAnsi="Times New Roman" w:eastAsia="宋体" w:cs="Times New Roman"/>
          <w:color w:val="000000" w:themeColor="text1"/>
          <w:sz w:val="24"/>
          <w:u w:val="single"/>
          <w:lang w:val="en-US" w:eastAsia="en-US"/>
          <w14:textFill>
            <w14:solidFill>
              <w14:schemeClr w14:val="tx1"/>
            </w14:solidFill>
          </w14:textFill>
        </w:rPr>
        <w:t>（7）监测布点</w:t>
      </w:r>
    </w:p>
    <w:p>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u w:val="single"/>
          <w:lang w:val="en-US" w:eastAsia="en-US"/>
          <w14:textFill>
            <w14:solidFill>
              <w14:schemeClr w14:val="tx1"/>
            </w14:solidFill>
          </w14:textFill>
        </w:rPr>
      </w:pPr>
      <w:r>
        <w:rPr>
          <w:rFonts w:hint="default" w:ascii="Times New Roman" w:hAnsi="Times New Roman" w:eastAsia="宋体" w:cs="Times New Roman"/>
          <w:color w:val="000000" w:themeColor="text1"/>
          <w:sz w:val="24"/>
          <w:u w:val="single"/>
          <w:lang w:val="en-US" w:eastAsia="en-US"/>
          <w14:textFill>
            <w14:solidFill>
              <w14:schemeClr w14:val="tx1"/>
            </w14:solidFill>
          </w14:textFill>
        </w:rPr>
        <w:t>变电站厂界：在变电站四周围墙外</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5m处</w:t>
      </w:r>
      <w:r>
        <w:rPr>
          <w:rFonts w:hint="default" w:ascii="Times New Roman" w:hAnsi="Times New Roman" w:eastAsia="宋体" w:cs="Times New Roman"/>
          <w:color w:val="000000" w:themeColor="text1"/>
          <w:sz w:val="24"/>
          <w:u w:val="single"/>
          <w:lang w:val="en-US" w:eastAsia="en-US"/>
          <w14:textFill>
            <w14:solidFill>
              <w14:schemeClr w14:val="tx1"/>
            </w14:solidFill>
          </w14:textFill>
        </w:rPr>
        <w:t>各布设1 个测点，各测点布置距离地面1.5m 高度处。</w:t>
      </w:r>
    </w:p>
    <w:p>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u w:val="single"/>
          <w:lang w:val="en-US" w:eastAsia="en-US"/>
          <w14:textFill>
            <w14:solidFill>
              <w14:schemeClr w14:val="tx1"/>
            </w14:solidFill>
          </w14:textFill>
        </w:rPr>
      </w:pPr>
      <w:r>
        <w:rPr>
          <w:rFonts w:hint="default" w:ascii="Times New Roman" w:hAnsi="Times New Roman" w:eastAsia="宋体" w:cs="Times New Roman"/>
          <w:color w:val="000000" w:themeColor="text1"/>
          <w:sz w:val="24"/>
          <w:u w:val="single"/>
          <w:lang w:val="en-US" w:eastAsia="en-US"/>
          <w14:textFill>
            <w14:solidFill>
              <w14:schemeClr w14:val="tx1"/>
            </w14:solidFill>
          </w14:textFill>
        </w:rPr>
        <w:t>衰减断面：以变电站西</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面</w:t>
      </w:r>
      <w:r>
        <w:rPr>
          <w:rFonts w:hint="default" w:ascii="Times New Roman" w:hAnsi="Times New Roman" w:eastAsia="宋体" w:cs="Times New Roman"/>
          <w:color w:val="000000" w:themeColor="text1"/>
          <w:sz w:val="24"/>
          <w:u w:val="single"/>
          <w:lang w:val="en-US" w:eastAsia="en-US"/>
          <w14:textFill>
            <w14:solidFill>
              <w14:schemeClr w14:val="tx1"/>
            </w14:solidFill>
          </w14:textFill>
        </w:rPr>
        <w:t>围墙外5m 处为起点，垂直于围墙每5m 布设一个监测点，顺序测至围墙外</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5</w:t>
      </w:r>
      <w:r>
        <w:rPr>
          <w:rFonts w:hint="default" w:ascii="Times New Roman" w:hAnsi="Times New Roman" w:eastAsia="宋体" w:cs="Times New Roman"/>
          <w:color w:val="000000" w:themeColor="text1"/>
          <w:sz w:val="24"/>
          <w:u w:val="single"/>
          <w:lang w:val="en-US" w:eastAsia="en-US"/>
          <w14:textFill>
            <w14:solidFill>
              <w14:schemeClr w14:val="tx1"/>
            </w14:solidFill>
          </w14:textFill>
        </w:rPr>
        <w:t>0m 处。</w:t>
      </w:r>
    </w:p>
    <w:p>
      <w:pPr>
        <w:pStyle w:val="4"/>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16"/>
          <w:u w:val="single"/>
          <w:lang w:val="en-US" w:eastAsia="zh-CN"/>
          <w14:textFill>
            <w14:solidFill>
              <w14:schemeClr w14:val="tx1"/>
            </w14:solidFill>
          </w14:textFill>
        </w:rPr>
      </w:pPr>
      <w:bookmarkStart w:id="70" w:name="_Toc5671"/>
      <w:r>
        <w:rPr>
          <w:rFonts w:hint="default" w:ascii="Times New Roman" w:hAnsi="Times New Roman" w:eastAsia="宋体" w:cs="Times New Roman"/>
          <w:color w:val="000000" w:themeColor="text1"/>
          <w:sz w:val="24"/>
          <w:szCs w:val="16"/>
          <w:u w:val="single"/>
          <w:lang w:val="en-US" w:eastAsia="zh-CN"/>
          <w14:textFill>
            <w14:solidFill>
              <w14:schemeClr w14:val="tx1"/>
            </w14:solidFill>
          </w14:textFill>
        </w:rPr>
        <w:t>4.4类比监测结果及评价</w:t>
      </w:r>
      <w:bookmarkEnd w:id="70"/>
    </w:p>
    <w:p>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u w:val="single"/>
          <w:lang w:val="en-US" w:eastAsia="en-US"/>
          <w14:textFill>
            <w14:solidFill>
              <w14:schemeClr w14:val="tx1"/>
            </w14:solidFill>
          </w14:textFill>
        </w:rPr>
      </w:pPr>
      <w:r>
        <w:rPr>
          <w:rFonts w:hint="default" w:ascii="Times New Roman" w:hAnsi="Times New Roman" w:eastAsia="宋体" w:cs="Times New Roman"/>
          <w:color w:val="000000" w:themeColor="text1"/>
          <w:sz w:val="24"/>
          <w:u w:val="single"/>
          <w:lang w:val="en-US" w:eastAsia="en-US"/>
          <w14:textFill>
            <w14:solidFill>
              <w14:schemeClr w14:val="tx1"/>
            </w14:solidFill>
          </w14:textFill>
        </w:rPr>
        <w:t>类比变电站电磁环境监测结果见表</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4-4</w:t>
      </w:r>
      <w:r>
        <w:rPr>
          <w:rFonts w:hint="default" w:ascii="Times New Roman" w:hAnsi="Times New Roman" w:eastAsia="宋体" w:cs="Times New Roman"/>
          <w:color w:val="000000" w:themeColor="text1"/>
          <w:sz w:val="24"/>
          <w:u w:val="single"/>
          <w:lang w:val="en-US" w:eastAsia="en-US"/>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pacing w:val="0"/>
          <w:kern w:val="0"/>
          <w:sz w:val="21"/>
          <w:szCs w:val="21"/>
          <w:u w:val="single"/>
          <w:lang w:eastAsia="en-US"/>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u w:val="single"/>
          <w:lang w:eastAsia="en-US"/>
          <w14:textFill>
            <w14:solidFill>
              <w14:schemeClr w14:val="tx1"/>
            </w14:solidFill>
          </w14:textFill>
        </w:rPr>
        <w:t>表</w:t>
      </w:r>
      <w:r>
        <w:rPr>
          <w:rFonts w:hint="eastAsia" w:ascii="Times New Roman" w:hAnsi="Times New Roman" w:cs="Times New Roman"/>
          <w:b/>
          <w:bCs/>
          <w:color w:val="000000" w:themeColor="text1"/>
          <w:spacing w:val="0"/>
          <w:kern w:val="0"/>
          <w:sz w:val="21"/>
          <w:szCs w:val="21"/>
          <w:u w:val="single"/>
          <w:lang w:val="en-US" w:eastAsia="zh-CN"/>
          <w14:textFill>
            <w14:solidFill>
              <w14:schemeClr w14:val="tx1"/>
            </w14:solidFill>
          </w14:textFill>
        </w:rPr>
        <w:t xml:space="preserve">4-4 </w:t>
      </w:r>
      <w:r>
        <w:rPr>
          <w:rFonts w:hint="default" w:ascii="Times New Roman" w:hAnsi="Times New Roman" w:eastAsia="Times New Roman" w:cs="Times New Roman"/>
          <w:b/>
          <w:bCs/>
          <w:color w:val="000000" w:themeColor="text1"/>
          <w:spacing w:val="0"/>
          <w:kern w:val="0"/>
          <w:sz w:val="21"/>
          <w:szCs w:val="21"/>
          <w:u w:val="single"/>
          <w:lang w:eastAsia="en-US"/>
          <w14:textFill>
            <w14:solidFill>
              <w14:schemeClr w14:val="tx1"/>
            </w14:solidFill>
          </w14:textFill>
        </w:rPr>
        <w:t xml:space="preserve"> 水渡河110kV 变电站</w:t>
      </w:r>
      <w:r>
        <w:rPr>
          <w:rFonts w:hint="default" w:ascii="Times New Roman" w:hAnsi="Times New Roman" w:eastAsia="宋体" w:cs="Times New Roman"/>
          <w:b/>
          <w:bCs/>
          <w:color w:val="000000" w:themeColor="text1"/>
          <w:spacing w:val="0"/>
          <w:kern w:val="0"/>
          <w:sz w:val="21"/>
          <w:szCs w:val="21"/>
          <w:u w:val="single"/>
          <w:lang w:eastAsia="en-US"/>
          <w14:textFill>
            <w14:solidFill>
              <w14:schemeClr w14:val="tx1"/>
            </w14:solidFill>
          </w14:textFill>
        </w:rPr>
        <w:t>周围工频电磁场监测试结果</w:t>
      </w:r>
    </w:p>
    <w:tbl>
      <w:tblPr>
        <w:tblStyle w:val="22"/>
        <w:tblW w:w="5014" w:type="pct"/>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autofit"/>
        <w:tblCellMar>
          <w:top w:w="0" w:type="dxa"/>
          <w:left w:w="0" w:type="dxa"/>
          <w:bottom w:w="0" w:type="dxa"/>
          <w:right w:w="0" w:type="dxa"/>
        </w:tblCellMar>
      </w:tblPr>
      <w:tblGrid>
        <w:gridCol w:w="3477"/>
        <w:gridCol w:w="2382"/>
        <w:gridCol w:w="2928"/>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1978" w:type="pct"/>
            <w:tcBorders>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bCs/>
                <w:color w:val="000000" w:themeColor="text1"/>
                <w:sz w:val="21"/>
                <w:szCs w:val="21"/>
                <w:u w:val="single"/>
                <w:lang w:val="en-US" w:eastAsia="en-US"/>
                <w14:textFill>
                  <w14:solidFill>
                    <w14:schemeClr w14:val="tx1"/>
                  </w14:solidFill>
                </w14:textFill>
              </w:rPr>
            </w:pPr>
            <w:r>
              <w:rPr>
                <w:rFonts w:hint="default" w:ascii="Times New Roman" w:hAnsi="Times New Roman" w:eastAsia="宋体" w:cs="Times New Roman"/>
                <w:b/>
                <w:bCs/>
                <w:color w:val="000000" w:themeColor="text1"/>
                <w:sz w:val="21"/>
                <w:szCs w:val="21"/>
                <w:u w:val="single"/>
                <w:lang w:val="en-US" w:eastAsia="en-US"/>
                <w14:textFill>
                  <w14:solidFill>
                    <w14:schemeClr w14:val="tx1"/>
                  </w14:solidFill>
                </w14:textFill>
              </w:rPr>
              <w:t>测点</w:t>
            </w:r>
          </w:p>
        </w:tc>
        <w:tc>
          <w:tcPr>
            <w:tcW w:w="1355" w:type="pct"/>
            <w:tcBorders>
              <w:left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bCs/>
                <w:color w:val="000000" w:themeColor="text1"/>
                <w:sz w:val="21"/>
                <w:szCs w:val="21"/>
                <w:u w:val="single"/>
                <w:lang w:val="en-US" w:eastAsia="en-US"/>
                <w14:textFill>
                  <w14:solidFill>
                    <w14:schemeClr w14:val="tx1"/>
                  </w14:solidFill>
                </w14:textFill>
              </w:rPr>
            </w:pPr>
            <w:r>
              <w:rPr>
                <w:rFonts w:hint="default" w:ascii="Times New Roman" w:hAnsi="Times New Roman" w:eastAsia="宋体" w:cs="Times New Roman"/>
                <w:b/>
                <w:bCs/>
                <w:color w:val="000000" w:themeColor="text1"/>
                <w:sz w:val="21"/>
                <w:szCs w:val="21"/>
                <w:u w:val="single"/>
                <w:lang w:val="en-US" w:eastAsia="en-US"/>
                <w14:textFill>
                  <w14:solidFill>
                    <w14:schemeClr w14:val="tx1"/>
                  </w14:solidFill>
                </w14:textFill>
              </w:rPr>
              <w:t>工频电场(V/m)</w:t>
            </w:r>
          </w:p>
        </w:tc>
        <w:tc>
          <w:tcPr>
            <w:tcW w:w="1666" w:type="pct"/>
            <w:tcBorders>
              <w:left w:val="single" w:color="000000" w:sz="6" w:space="0"/>
              <w:bottom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bCs/>
                <w:color w:val="000000" w:themeColor="text1"/>
                <w:sz w:val="21"/>
                <w:szCs w:val="21"/>
                <w:u w:val="single"/>
                <w:lang w:val="en-US" w:eastAsia="en-US"/>
                <w14:textFill>
                  <w14:solidFill>
                    <w14:schemeClr w14:val="tx1"/>
                  </w14:solidFill>
                </w14:textFill>
              </w:rPr>
            </w:pPr>
            <w:r>
              <w:rPr>
                <w:rFonts w:hint="default" w:ascii="Times New Roman" w:hAnsi="Times New Roman" w:eastAsia="宋体" w:cs="Times New Roman"/>
                <w:b/>
                <w:bCs/>
                <w:color w:val="000000" w:themeColor="text1"/>
                <w:sz w:val="21"/>
                <w:szCs w:val="21"/>
                <w:u w:val="single"/>
                <w:lang w:val="en-US" w:eastAsia="en-US"/>
                <w14:textFill>
                  <w14:solidFill>
                    <w14:schemeClr w14:val="tx1"/>
                  </w14:solidFill>
                </w14:textFill>
              </w:rPr>
              <w:t>工频磁场(μT)</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trPr>
        <w:tc>
          <w:tcPr>
            <w:tcW w:w="1978" w:type="pct"/>
            <w:tcBorders>
              <w:top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变电站</w:t>
            </w:r>
            <w:r>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t>东</w:t>
            </w:r>
            <w:r>
              <w:rPr>
                <w:rFonts w:hint="default" w:ascii="Times New Roman" w:hAnsi="Times New Roman" w:eastAsia="宋体" w:cs="Times New Roman"/>
                <w:b w:val="0"/>
                <w:bCs w:val="0"/>
                <w:color w:val="000000" w:themeColor="text1"/>
                <w:sz w:val="21"/>
                <w:szCs w:val="21"/>
                <w:u w:val="single"/>
                <w:lang w:val="en-US" w:eastAsia="en-US"/>
                <w14:textFill>
                  <w14:solidFill>
                    <w14:schemeClr w14:val="tx1"/>
                  </w14:solidFill>
                </w14:textFill>
              </w:rPr>
              <w:t>侧厂界</w:t>
            </w:r>
          </w:p>
        </w:tc>
        <w:tc>
          <w:tcPr>
            <w:tcW w:w="1355"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2.3</w:t>
            </w:r>
          </w:p>
        </w:tc>
        <w:tc>
          <w:tcPr>
            <w:tcW w:w="1666" w:type="pct"/>
            <w:tcBorders>
              <w:top w:val="single" w:color="000000" w:sz="6" w:space="0"/>
              <w:left w:val="single" w:color="000000" w:sz="6" w:space="0"/>
              <w:bottom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0.091</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trPr>
        <w:tc>
          <w:tcPr>
            <w:tcW w:w="1978" w:type="pct"/>
            <w:tcBorders>
              <w:top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变电站南</w:t>
            </w:r>
            <w:r>
              <w:rPr>
                <w:rFonts w:hint="default" w:ascii="Times New Roman" w:hAnsi="Times New Roman" w:eastAsia="宋体" w:cs="Times New Roman"/>
                <w:b w:val="0"/>
                <w:bCs w:val="0"/>
                <w:color w:val="000000" w:themeColor="text1"/>
                <w:sz w:val="21"/>
                <w:szCs w:val="21"/>
                <w:u w:val="single"/>
                <w:lang w:val="en-US" w:eastAsia="en-US"/>
                <w14:textFill>
                  <w14:solidFill>
                    <w14:schemeClr w14:val="tx1"/>
                  </w14:solidFill>
                </w14:textFill>
              </w:rPr>
              <w:t>侧厂界</w:t>
            </w:r>
          </w:p>
        </w:tc>
        <w:tc>
          <w:tcPr>
            <w:tcW w:w="1355"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4.5</w:t>
            </w:r>
          </w:p>
        </w:tc>
        <w:tc>
          <w:tcPr>
            <w:tcW w:w="1666" w:type="pct"/>
            <w:tcBorders>
              <w:top w:val="single" w:color="000000" w:sz="6" w:space="0"/>
              <w:left w:val="single" w:color="000000" w:sz="6" w:space="0"/>
              <w:bottom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0.182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trPr>
        <w:tc>
          <w:tcPr>
            <w:tcW w:w="1978" w:type="pct"/>
            <w:tcBorders>
              <w:top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变电站西</w:t>
            </w:r>
            <w:r>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t>侧厂界</w:t>
            </w:r>
          </w:p>
        </w:tc>
        <w:tc>
          <w:tcPr>
            <w:tcW w:w="1355"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3.1</w:t>
            </w:r>
          </w:p>
        </w:tc>
        <w:tc>
          <w:tcPr>
            <w:tcW w:w="1666" w:type="pct"/>
            <w:tcBorders>
              <w:top w:val="single" w:color="000000" w:sz="6" w:space="0"/>
              <w:left w:val="single" w:color="000000" w:sz="6" w:space="0"/>
              <w:bottom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0.095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trPr>
        <w:tc>
          <w:tcPr>
            <w:tcW w:w="1978" w:type="pct"/>
            <w:tcBorders>
              <w:top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en-US"/>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变电站北</w:t>
            </w:r>
            <w:r>
              <w:rPr>
                <w:rFonts w:hint="default" w:ascii="Times New Roman" w:hAnsi="Times New Roman" w:eastAsia="宋体" w:cs="Times New Roman"/>
                <w:b w:val="0"/>
                <w:bCs w:val="0"/>
                <w:color w:val="000000" w:themeColor="text1"/>
                <w:sz w:val="21"/>
                <w:szCs w:val="21"/>
                <w:u w:val="single"/>
                <w:lang w:val="en-US" w:eastAsia="en-US"/>
                <w14:textFill>
                  <w14:solidFill>
                    <w14:schemeClr w14:val="tx1"/>
                  </w14:solidFill>
                </w14:textFill>
              </w:rPr>
              <w:t>侧厂界</w:t>
            </w:r>
          </w:p>
        </w:tc>
        <w:tc>
          <w:tcPr>
            <w:tcW w:w="1355"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19.6</w:t>
            </w:r>
          </w:p>
        </w:tc>
        <w:tc>
          <w:tcPr>
            <w:tcW w:w="1666" w:type="pct"/>
            <w:tcBorders>
              <w:top w:val="single" w:color="000000" w:sz="6" w:space="0"/>
              <w:left w:val="single" w:color="000000" w:sz="6" w:space="0"/>
              <w:bottom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0.335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trPr>
        <w:tc>
          <w:tcPr>
            <w:tcW w:w="1978" w:type="pct"/>
            <w:tcBorders>
              <w:top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距西面围墙5m</w:t>
            </w:r>
          </w:p>
        </w:tc>
        <w:tc>
          <w:tcPr>
            <w:tcW w:w="1355"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3.1</w:t>
            </w:r>
          </w:p>
        </w:tc>
        <w:tc>
          <w:tcPr>
            <w:tcW w:w="1666" w:type="pct"/>
            <w:tcBorders>
              <w:top w:val="single" w:color="000000" w:sz="6" w:space="0"/>
              <w:left w:val="single" w:color="000000" w:sz="6" w:space="0"/>
              <w:bottom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0.095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trPr>
        <w:tc>
          <w:tcPr>
            <w:tcW w:w="1978" w:type="pct"/>
            <w:tcBorders>
              <w:top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en-US"/>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距西面围墙10m</w:t>
            </w:r>
          </w:p>
        </w:tc>
        <w:tc>
          <w:tcPr>
            <w:tcW w:w="1355"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2.8</w:t>
            </w:r>
          </w:p>
        </w:tc>
        <w:tc>
          <w:tcPr>
            <w:tcW w:w="1666" w:type="pct"/>
            <w:tcBorders>
              <w:top w:val="single" w:color="000000" w:sz="6" w:space="0"/>
              <w:left w:val="single" w:color="000000" w:sz="6" w:space="0"/>
              <w:bottom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0.081</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trPr>
        <w:tc>
          <w:tcPr>
            <w:tcW w:w="1978" w:type="pct"/>
            <w:tcBorders>
              <w:top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en-US"/>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距西面围墙15m</w:t>
            </w:r>
          </w:p>
        </w:tc>
        <w:tc>
          <w:tcPr>
            <w:tcW w:w="1355"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2.6</w:t>
            </w:r>
          </w:p>
        </w:tc>
        <w:tc>
          <w:tcPr>
            <w:tcW w:w="1666" w:type="pct"/>
            <w:tcBorders>
              <w:top w:val="single" w:color="000000" w:sz="6" w:space="0"/>
              <w:left w:val="single" w:color="000000" w:sz="6" w:space="0"/>
              <w:bottom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0.073</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trPr>
        <w:tc>
          <w:tcPr>
            <w:tcW w:w="1978" w:type="pct"/>
            <w:tcBorders>
              <w:top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en-US"/>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距西面围墙20m</w:t>
            </w:r>
          </w:p>
        </w:tc>
        <w:tc>
          <w:tcPr>
            <w:tcW w:w="1355"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2.1</w:t>
            </w:r>
          </w:p>
        </w:tc>
        <w:tc>
          <w:tcPr>
            <w:tcW w:w="1666" w:type="pct"/>
            <w:tcBorders>
              <w:top w:val="single" w:color="000000" w:sz="6" w:space="0"/>
              <w:left w:val="single" w:color="000000" w:sz="6" w:space="0"/>
              <w:bottom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0.065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trPr>
        <w:tc>
          <w:tcPr>
            <w:tcW w:w="1978" w:type="pct"/>
            <w:tcBorders>
              <w:top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en-US"/>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距西面围墙25m</w:t>
            </w:r>
          </w:p>
        </w:tc>
        <w:tc>
          <w:tcPr>
            <w:tcW w:w="1355"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1.9</w:t>
            </w:r>
          </w:p>
        </w:tc>
        <w:tc>
          <w:tcPr>
            <w:tcW w:w="1666" w:type="pct"/>
            <w:tcBorders>
              <w:top w:val="single" w:color="000000" w:sz="6" w:space="0"/>
              <w:left w:val="single" w:color="000000" w:sz="6" w:space="0"/>
              <w:bottom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0.054</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trPr>
        <w:tc>
          <w:tcPr>
            <w:tcW w:w="1978" w:type="pct"/>
            <w:tcBorders>
              <w:top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en-US"/>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距西面围墙30m</w:t>
            </w:r>
          </w:p>
        </w:tc>
        <w:tc>
          <w:tcPr>
            <w:tcW w:w="1355"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1.8</w:t>
            </w:r>
          </w:p>
        </w:tc>
        <w:tc>
          <w:tcPr>
            <w:tcW w:w="1666" w:type="pct"/>
            <w:tcBorders>
              <w:top w:val="single" w:color="000000" w:sz="6" w:space="0"/>
              <w:left w:val="single" w:color="000000" w:sz="6" w:space="0"/>
              <w:bottom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0.047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trPr>
        <w:tc>
          <w:tcPr>
            <w:tcW w:w="1978" w:type="pct"/>
            <w:tcBorders>
              <w:top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en-US"/>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距西面围墙35m</w:t>
            </w:r>
          </w:p>
        </w:tc>
        <w:tc>
          <w:tcPr>
            <w:tcW w:w="1355"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1.5</w:t>
            </w:r>
          </w:p>
        </w:tc>
        <w:tc>
          <w:tcPr>
            <w:tcW w:w="1666" w:type="pct"/>
            <w:tcBorders>
              <w:top w:val="single" w:color="000000" w:sz="6" w:space="0"/>
              <w:left w:val="single" w:color="000000" w:sz="6" w:space="0"/>
              <w:bottom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0.039</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trPr>
        <w:tc>
          <w:tcPr>
            <w:tcW w:w="1978" w:type="pct"/>
            <w:tcBorders>
              <w:top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6" w:rightChars="0"/>
              <w:jc w:val="center"/>
              <w:textAlignment w:val="auto"/>
              <w:rPr>
                <w:rFonts w:hint="default" w:ascii="Times New Roman" w:hAnsi="Times New Roman" w:eastAsia="宋体" w:cs="Times New Roman"/>
                <w:b w:val="0"/>
                <w:bCs w:val="0"/>
                <w:color w:val="000000" w:themeColor="text1"/>
                <w:kern w:val="2"/>
                <w:sz w:val="21"/>
                <w:szCs w:val="21"/>
                <w:u w:val="single"/>
                <w:lang w:val="en-US" w:eastAsia="en-US" w:bidi="ar-SA"/>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距西面围墙40m</w:t>
            </w:r>
          </w:p>
        </w:tc>
        <w:tc>
          <w:tcPr>
            <w:tcW w:w="1355"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1.0</w:t>
            </w:r>
          </w:p>
        </w:tc>
        <w:tc>
          <w:tcPr>
            <w:tcW w:w="1666" w:type="pct"/>
            <w:tcBorders>
              <w:top w:val="single" w:color="000000" w:sz="6" w:space="0"/>
              <w:left w:val="single" w:color="000000" w:sz="6" w:space="0"/>
              <w:bottom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0.027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trPr>
        <w:tc>
          <w:tcPr>
            <w:tcW w:w="1978" w:type="pct"/>
            <w:tcBorders>
              <w:top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6" w:rightChars="0"/>
              <w:jc w:val="center"/>
              <w:textAlignment w:val="auto"/>
              <w:rPr>
                <w:rFonts w:hint="default" w:ascii="Times New Roman" w:hAnsi="Times New Roman" w:eastAsia="宋体" w:cs="Times New Roman"/>
                <w:b w:val="0"/>
                <w:bCs w:val="0"/>
                <w:color w:val="000000" w:themeColor="text1"/>
                <w:kern w:val="2"/>
                <w:sz w:val="21"/>
                <w:szCs w:val="21"/>
                <w:u w:val="single"/>
                <w:lang w:val="en-US" w:eastAsia="en-US" w:bidi="ar-SA"/>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距西面围墙45m</w:t>
            </w:r>
          </w:p>
        </w:tc>
        <w:tc>
          <w:tcPr>
            <w:tcW w:w="1355"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0.8</w:t>
            </w:r>
          </w:p>
        </w:tc>
        <w:tc>
          <w:tcPr>
            <w:tcW w:w="1666" w:type="pct"/>
            <w:tcBorders>
              <w:top w:val="single" w:color="000000" w:sz="6" w:space="0"/>
              <w:left w:val="single" w:color="000000" w:sz="6" w:space="0"/>
              <w:bottom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0.016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0" w:type="dxa"/>
            <w:bottom w:w="0" w:type="dxa"/>
            <w:right w:w="0" w:type="dxa"/>
          </w:tblCellMar>
        </w:tblPrEx>
        <w:trPr>
          <w:trHeight w:val="340" w:hRule="atLeast"/>
        </w:trPr>
        <w:tc>
          <w:tcPr>
            <w:tcW w:w="1978" w:type="pct"/>
            <w:tcBorders>
              <w:top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6" w:rightChars="0"/>
              <w:jc w:val="center"/>
              <w:textAlignment w:val="auto"/>
              <w:rPr>
                <w:rFonts w:hint="default" w:ascii="Times New Roman" w:hAnsi="Times New Roman" w:eastAsia="宋体" w:cs="Times New Roman"/>
                <w:b w:val="0"/>
                <w:bCs w:val="0"/>
                <w:color w:val="000000" w:themeColor="text1"/>
                <w:kern w:val="2"/>
                <w:sz w:val="21"/>
                <w:szCs w:val="21"/>
                <w:u w:val="single"/>
                <w:lang w:val="en-US" w:eastAsia="en-US" w:bidi="ar-SA"/>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距西面围墙50m</w:t>
            </w:r>
          </w:p>
        </w:tc>
        <w:tc>
          <w:tcPr>
            <w:tcW w:w="1355" w:type="pct"/>
            <w:tcBorders>
              <w:top w:val="single" w:color="000000" w:sz="6" w:space="0"/>
              <w:left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0.6</w:t>
            </w:r>
          </w:p>
        </w:tc>
        <w:tc>
          <w:tcPr>
            <w:tcW w:w="1666" w:type="pct"/>
            <w:tcBorders>
              <w:top w:val="single" w:color="000000" w:sz="6" w:space="0"/>
              <w:lef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6"/>
              <w:jc w:val="center"/>
              <w:textAlignment w:val="auto"/>
              <w:rPr>
                <w:rFonts w:hint="default" w:ascii="Times New Roman" w:hAnsi="Times New Roman" w:eastAsia="宋体" w:cs="Times New Roman"/>
                <w:b w:val="0"/>
                <w:bCs w:val="0"/>
                <w:color w:val="000000" w:themeColor="text1"/>
                <w:sz w:val="21"/>
                <w:szCs w:val="21"/>
                <w:u w:val="single"/>
                <w:lang w:val="en-US" w:eastAsia="zh-CN"/>
                <w14:textFill>
                  <w14:solidFill>
                    <w14:schemeClr w14:val="tx1"/>
                  </w14:solidFill>
                </w14:textFill>
              </w:rPr>
            </w:pPr>
            <w:r>
              <w:rPr>
                <w:rFonts w:hint="eastAsia" w:cs="Times New Roman"/>
                <w:b w:val="0"/>
                <w:bCs w:val="0"/>
                <w:color w:val="000000" w:themeColor="text1"/>
                <w:sz w:val="21"/>
                <w:szCs w:val="21"/>
                <w:u w:val="single"/>
                <w:lang w:val="en-US" w:eastAsia="zh-CN"/>
                <w14:textFill>
                  <w14:solidFill>
                    <w14:schemeClr w14:val="tx1"/>
                  </w14:solidFill>
                </w14:textFill>
              </w:rPr>
              <w:t>0.015</w:t>
            </w:r>
          </w:p>
        </w:tc>
      </w:tr>
    </w:tbl>
    <w:p>
      <w:pPr>
        <w:pStyle w:val="82"/>
        <w:keepNext w:val="0"/>
        <w:keepLines w:val="0"/>
        <w:pageBreakBefore w:val="0"/>
        <w:widowControl w:val="0"/>
        <w:kinsoku w:val="0"/>
        <w:wordWrap/>
        <w:overflowPunct w:val="0"/>
        <w:topLinePunct w:val="0"/>
        <w:autoSpaceDE/>
        <w:autoSpaceDN/>
        <w:bidi w:val="0"/>
        <w:adjustRightInd/>
        <w:snapToGrid/>
        <w:spacing w:beforeLines="0" w:afterLines="0"/>
        <w:ind w:left="0"/>
        <w:jc w:val="center"/>
        <w:textAlignment w:val="auto"/>
        <w:rPr>
          <w:rFonts w:hint="default" w:ascii="Times New Roman" w:hAnsi="Times New Roman" w:cs="Times New Roman"/>
          <w:color w:val="000000" w:themeColor="text1"/>
          <w:u w:val="single"/>
          <w14:textFill>
            <w14:solidFill>
              <w14:schemeClr w14:val="tx1"/>
            </w14:solidFill>
          </w14:textFill>
        </w:rPr>
      </w:pPr>
    </w:p>
    <w:p>
      <w:pPr>
        <w:pStyle w:val="82"/>
        <w:keepNext w:val="0"/>
        <w:keepLines w:val="0"/>
        <w:pageBreakBefore w:val="0"/>
        <w:widowControl w:val="0"/>
        <w:kinsoku w:val="0"/>
        <w:wordWrap/>
        <w:overflowPunct w:val="0"/>
        <w:topLinePunct w:val="0"/>
        <w:autoSpaceDE/>
        <w:autoSpaceDN/>
        <w:bidi w:val="0"/>
        <w:adjustRightInd/>
        <w:snapToGrid/>
        <w:spacing w:beforeLines="0" w:afterLines="0"/>
        <w:ind w:left="0"/>
        <w:jc w:val="center"/>
        <w:textAlignment w:val="auto"/>
        <w:rPr>
          <w:rFonts w:hint="default" w:ascii="Times New Roman" w:hAnsi="Times New Roman" w:eastAsia="Times New Roman" w:cs="Times New Roman"/>
          <w:color w:val="000000" w:themeColor="text1"/>
          <w:sz w:val="20"/>
          <w:szCs w:val="24"/>
          <w:u w:val="single"/>
          <w14:textFill>
            <w14:solidFill>
              <w14:schemeClr w14:val="tx1"/>
            </w14:solidFill>
          </w14:textFill>
        </w:rPr>
      </w:pPr>
      <w:r>
        <w:rPr>
          <w:color w:val="000000" w:themeColor="text1"/>
          <w14:textFill>
            <w14:solidFill>
              <w14:schemeClr w14:val="tx1"/>
            </w14:solidFill>
          </w14:textFill>
        </w:rPr>
        <w:drawing>
          <wp:inline distT="0" distB="0" distL="114300" distR="114300">
            <wp:extent cx="5539740" cy="3488055"/>
            <wp:effectExtent l="0" t="0" r="381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7"/>
                    <a:stretch>
                      <a:fillRect/>
                    </a:stretch>
                  </pic:blipFill>
                  <pic:spPr>
                    <a:xfrm>
                      <a:off x="0" y="0"/>
                      <a:ext cx="5539740" cy="3488055"/>
                    </a:xfrm>
                    <a:prstGeom prst="rect">
                      <a:avLst/>
                    </a:prstGeom>
                    <a:noFill/>
                    <a:ln>
                      <a:noFill/>
                    </a:ln>
                  </pic:spPr>
                </pic:pic>
              </a:graphicData>
            </a:graphic>
          </wp:inline>
        </w:drawing>
      </w:r>
    </w:p>
    <w:p>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center"/>
        <w:textAlignment w:val="auto"/>
        <w:outlineLvl w:val="9"/>
        <w:rPr>
          <w:rFonts w:hint="default" w:ascii="Times New Roman" w:hAnsi="Times New Roman" w:eastAsia="宋体" w:cs="Times New Roman"/>
          <w:b w:val="0"/>
          <w:bCs w:val="0"/>
          <w:color w:val="000000" w:themeColor="text1"/>
          <w:sz w:val="24"/>
          <w:szCs w:val="24"/>
          <w:highlight w:val="none"/>
          <w:u w:val="singl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14:textFill>
            <w14:solidFill>
              <w14:schemeClr w14:val="tx1"/>
            </w14:solidFill>
          </w14:textFill>
        </w:rPr>
        <w:t xml:space="preserve">图4-1 </w:t>
      </w:r>
      <w:r>
        <w:rPr>
          <w:rFonts w:hint="default" w:ascii="Times New Roman" w:hAnsi="Times New Roman" w:eastAsia="宋体" w:cs="Times New Roman"/>
          <w:b/>
          <w:color w:val="000000" w:themeColor="text1"/>
          <w:sz w:val="21"/>
          <w:szCs w:val="21"/>
          <w:highlight w:val="none"/>
          <w:u w:val="singl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highlight w:val="none"/>
          <w:u w:val="single"/>
          <w14:textFill>
            <w14:solidFill>
              <w14:schemeClr w14:val="tx1"/>
            </w14:solidFill>
          </w14:textFill>
        </w:rPr>
        <w:t>类比项目监测点位布点示意图</w:t>
      </w:r>
    </w:p>
    <w:p>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u w:val="singl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single"/>
          <w:lang w:val="en-US" w:eastAsia="zh-CN"/>
          <w14:textFill>
            <w14:solidFill>
              <w14:schemeClr w14:val="tx1"/>
            </w14:solidFill>
          </w14:textFill>
        </w:rPr>
        <w:t>根据表4-</w:t>
      </w:r>
      <w:r>
        <w:rPr>
          <w:rFonts w:hint="eastAsia" w:ascii="Times New Roman" w:hAnsi="Times New Roman" w:eastAsia="宋体" w:cs="Times New Roman"/>
          <w:b w:val="0"/>
          <w:bCs w:val="0"/>
          <w:color w:val="000000" w:themeColor="text1"/>
          <w:sz w:val="24"/>
          <w:szCs w:val="24"/>
          <w:highlight w:val="none"/>
          <w:u w:val="singl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highlight w:val="none"/>
          <w:u w:val="single"/>
          <w:lang w:val="en-US" w:eastAsia="zh-CN"/>
          <w14:textFill>
            <w14:solidFill>
              <w14:schemeClr w14:val="tx1"/>
            </w14:solidFill>
          </w14:textFill>
        </w:rPr>
        <w:t xml:space="preserve"> 可知，</w:t>
      </w:r>
      <w:r>
        <w:rPr>
          <w:rFonts w:hint="default" w:ascii="Times New Roman" w:hAnsi="Times New Roman" w:eastAsia="宋体" w:cs="Times New Roman"/>
          <w:color w:val="000000" w:themeColor="text1"/>
          <w:sz w:val="24"/>
          <w:szCs w:val="24"/>
          <w:u w:val="single"/>
          <w14:textFill>
            <w14:solidFill>
              <w14:schemeClr w14:val="tx1"/>
            </w14:solidFill>
          </w14:textFill>
        </w:rPr>
        <w:t>在运</w:t>
      </w:r>
      <w:r>
        <w:rPr>
          <w:rFonts w:hint="eastAsia" w:ascii="Times New Roman" w:hAnsi="Times New Roman" w:eastAsia="宋体" w:cs="Times New Roman"/>
          <w:color w:val="000000" w:themeColor="text1"/>
          <w:sz w:val="24"/>
          <w:szCs w:val="24"/>
          <w:u w:val="single"/>
          <w:lang w:eastAsia="zh-CN"/>
          <w14:textFill>
            <w14:solidFill>
              <w14:schemeClr w14:val="tx1"/>
            </w14:solidFill>
          </w14:textFill>
        </w:rPr>
        <w:t>行</w:t>
      </w:r>
      <w:r>
        <w:rPr>
          <w:rFonts w:hint="default" w:ascii="Times New Roman" w:hAnsi="Times New Roman" w:eastAsia="宋体" w:cs="Times New Roman"/>
          <w:color w:val="000000" w:themeColor="text1"/>
          <w:sz w:val="24"/>
          <w:szCs w:val="24"/>
          <w:u w:val="single"/>
          <w14:textFill>
            <w14:solidFill>
              <w14:schemeClr w14:val="tx1"/>
            </w14:solidFill>
          </w14:textFill>
        </w:rPr>
        <w:t>的水渡河110kV 变电站周围工频电场强度为0.6～19.6V/m；工频磁感应强度为0.015～0.335μT，满足《电磁环境控制限值》（GB8702-2014）中工频电场强度4000V/m、工频磁感应强度100μT 的控制限值。</w:t>
      </w:r>
    </w:p>
    <w:p>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000000" w:themeColor="text1"/>
          <w:sz w:val="24"/>
          <w:szCs w:val="24"/>
          <w:highlight w:val="none"/>
          <w:u w:val="singl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single"/>
          <w:lang w:val="en-US" w:eastAsia="zh-CN"/>
          <w14:textFill>
            <w14:solidFill>
              <w14:schemeClr w14:val="tx1"/>
            </w14:solidFill>
          </w14:textFill>
        </w:rPr>
        <w:t>根据类比可行性分析，</w:t>
      </w:r>
      <w:r>
        <w:rPr>
          <w:rFonts w:hint="default" w:ascii="Times New Roman" w:hAnsi="Times New Roman" w:eastAsia="宋体" w:cs="Times New Roman"/>
          <w:color w:val="000000" w:themeColor="text1"/>
          <w:sz w:val="24"/>
          <w:szCs w:val="24"/>
          <w:u w:val="single"/>
          <w14:textFill>
            <w14:solidFill>
              <w14:schemeClr w14:val="tx1"/>
            </w14:solidFill>
          </w14:textFill>
        </w:rPr>
        <w:t>水渡河110kV 变电站</w:t>
      </w:r>
      <w:r>
        <w:rPr>
          <w:rFonts w:hint="default" w:ascii="Times New Roman" w:hAnsi="Times New Roman" w:eastAsia="宋体" w:cs="Times New Roman"/>
          <w:b w:val="0"/>
          <w:bCs w:val="0"/>
          <w:color w:val="000000" w:themeColor="text1"/>
          <w:sz w:val="24"/>
          <w:szCs w:val="24"/>
          <w:highlight w:val="none"/>
          <w:u w:val="single"/>
          <w:lang w:val="en-US" w:eastAsia="zh-CN"/>
          <w14:textFill>
            <w14:solidFill>
              <w14:schemeClr w14:val="tx1"/>
            </w14:solidFill>
          </w14:textFill>
        </w:rPr>
        <w:t>在运行期周围工频电场、工频磁场能够反映本工程110kV 变电站本期规模运行期周围工频电场、工频磁场水平。由类比监测结果可知，本工程110kV 变电站本期规模运行期周围的工频电场、工频磁场均能够满足相应的标准限值要求。</w:t>
      </w:r>
      <w:r>
        <w:rPr>
          <w:rFonts w:hint="eastAsia" w:ascii="Times New Roman" w:hAnsi="Times New Roman" w:eastAsia="宋体" w:cs="Times New Roman"/>
          <w:b w:val="0"/>
          <w:bCs w:val="0"/>
          <w:color w:val="000000" w:themeColor="text1"/>
          <w:sz w:val="24"/>
          <w:szCs w:val="24"/>
          <w:highlight w:val="none"/>
          <w:u w:val="single"/>
          <w:lang w:val="en-US" w:eastAsia="zh-CN"/>
          <w14:textFill>
            <w14:solidFill>
              <w14:schemeClr w14:val="tx1"/>
            </w14:solidFill>
          </w14:textFill>
        </w:rPr>
        <w:t>且</w:t>
      </w:r>
      <w:r>
        <w:rPr>
          <w:rFonts w:hint="default" w:ascii="Times New Roman" w:hAnsi="Times New Roman" w:eastAsia="宋体" w:cs="Times New Roman"/>
          <w:b w:val="0"/>
          <w:bCs w:val="0"/>
          <w:color w:val="000000" w:themeColor="text1"/>
          <w:sz w:val="24"/>
          <w:szCs w:val="24"/>
          <w:highlight w:val="none"/>
          <w:u w:val="single"/>
          <w:lang w:val="en-US" w:eastAsia="zh-CN"/>
          <w14:textFill>
            <w14:solidFill>
              <w14:schemeClr w14:val="tx1"/>
            </w14:solidFill>
          </w14:textFill>
        </w:rPr>
        <w:t>本工程110kV 变电站围墙外30m 评价范围内</w:t>
      </w:r>
      <w:r>
        <w:rPr>
          <w:rFonts w:hint="eastAsia" w:ascii="Times New Roman" w:hAnsi="Times New Roman" w:eastAsia="宋体" w:cs="Times New Roman"/>
          <w:b w:val="0"/>
          <w:bCs w:val="0"/>
          <w:color w:val="000000" w:themeColor="text1"/>
          <w:sz w:val="24"/>
          <w:szCs w:val="24"/>
          <w:highlight w:val="none"/>
          <w:u w:val="single"/>
          <w:lang w:val="en-US" w:eastAsia="zh-CN"/>
          <w14:textFill>
            <w14:solidFill>
              <w14:schemeClr w14:val="tx1"/>
            </w14:solidFill>
          </w14:textFill>
        </w:rPr>
        <w:t>无</w:t>
      </w:r>
      <w:r>
        <w:rPr>
          <w:rFonts w:hint="default" w:ascii="Times New Roman" w:hAnsi="Times New Roman" w:eastAsia="宋体" w:cs="Times New Roman"/>
          <w:b w:val="0"/>
          <w:bCs w:val="0"/>
          <w:color w:val="000000" w:themeColor="text1"/>
          <w:sz w:val="24"/>
          <w:szCs w:val="24"/>
          <w:highlight w:val="none"/>
          <w:u w:val="single"/>
          <w:lang w:val="en-US" w:eastAsia="zh-CN"/>
          <w14:textFill>
            <w14:solidFill>
              <w14:schemeClr w14:val="tx1"/>
            </w14:solidFill>
          </w14:textFill>
        </w:rPr>
        <w:t>电磁环境保护目标</w:t>
      </w:r>
      <w:r>
        <w:rPr>
          <w:rFonts w:hint="eastAsia" w:ascii="Times New Roman" w:hAnsi="Times New Roman" w:eastAsia="宋体" w:cs="Times New Roman"/>
          <w:b w:val="0"/>
          <w:bCs w:val="0"/>
          <w:color w:val="000000" w:themeColor="text1"/>
          <w:sz w:val="24"/>
          <w:szCs w:val="24"/>
          <w:highlight w:val="none"/>
          <w:u w:val="single"/>
          <w:lang w:val="en-US" w:eastAsia="zh-CN"/>
          <w14:textFill>
            <w14:solidFill>
              <w14:schemeClr w14:val="tx1"/>
            </w14:solidFill>
          </w14:textFill>
        </w:rPr>
        <w:t>，因此，</w:t>
      </w:r>
      <w:r>
        <w:rPr>
          <w:rFonts w:hint="default" w:ascii="Times New Roman" w:hAnsi="Times New Roman" w:eastAsia="宋体" w:cs="Times New Roman"/>
          <w:color w:val="000000" w:themeColor="text1"/>
          <w:kern w:val="2"/>
          <w:sz w:val="24"/>
          <w:szCs w:val="24"/>
          <w:u w:val="single"/>
          <w:lang w:val="en-US" w:eastAsia="zh-CN" w:bidi="ar-SA"/>
          <w14:textFill>
            <w14:solidFill>
              <w14:schemeClr w14:val="tx1"/>
            </w14:solidFill>
          </w14:textFill>
        </w:rPr>
        <w:t>本项目对周围电磁环境影响较小。</w:t>
      </w:r>
    </w:p>
    <w:p>
      <w:pPr>
        <w:pStyle w:val="3"/>
        <w:bidi w:val="0"/>
        <w:rPr>
          <w:rFonts w:hint="default" w:ascii="Times New Roman" w:hAnsi="Times New Roman" w:eastAsia="宋体" w:cs="Times New Roman"/>
          <w:color w:val="000000" w:themeColor="text1"/>
          <w:lang w:val="en-US" w:eastAsia="zh-CN"/>
          <w14:textFill>
            <w14:solidFill>
              <w14:schemeClr w14:val="tx1"/>
            </w14:solidFill>
          </w14:textFill>
        </w:rPr>
      </w:pPr>
      <w:bookmarkStart w:id="71" w:name="_Toc26421"/>
      <w:r>
        <w:rPr>
          <w:rFonts w:hint="default" w:ascii="Times New Roman" w:hAnsi="Times New Roman" w:eastAsia="宋体" w:cs="Times New Roman"/>
          <w:color w:val="000000" w:themeColor="text1"/>
          <w:lang w:val="en-US" w:eastAsia="zh-CN"/>
          <w14:textFill>
            <w14:solidFill>
              <w14:schemeClr w14:val="tx1"/>
            </w14:solidFill>
          </w14:textFill>
        </w:rPr>
        <w:t>5 电磁环境保护措施</w:t>
      </w:r>
      <w:bookmarkEnd w:id="71"/>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升压站内电气设备应采取集中布置方式，在设计中应按有关规程采取系列的控制过电压、电磁感应场强水平的措施，如保证导体和电气设备之间的电气安全距离，选用具有低辐射、抗干扰能力的设备，设置防雷接地保护装置，选用带屏蔽层的电缆、屏蔽层接地等，将可以有效的降低电磁环境影响。</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合理选用各种电气设备及金属配件（如保护环、垫片、接头等），以减少高电位梯度点引起的放电；使用合理、优良的绝缘子来减少绝缘子的表面放电，尽量使用能改善绝缘子表面或沿绝缘子串电压分布的保护装置。</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（3）对大功率的电磁振荡设备采取必要的屏蔽，密封机箱的孔、口、门缝的连接处；控制箱、断路器端子箱、设备的放油阀门及分接开关尽量布置在较低场强区，以便于运行和检修人员接近。</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（4）在危险区域设立相应的警示标志，并做好警示宣传工作，醒目位置设置安全警示图文标志。</w:t>
      </w:r>
    </w:p>
    <w:p>
      <w:pPr>
        <w:pStyle w:val="3"/>
        <w:bidi w:val="0"/>
        <w:rPr>
          <w:rFonts w:hint="default" w:ascii="Times New Roman" w:hAnsi="Times New Roman" w:eastAsia="宋体" w:cs="Times New Roman"/>
          <w:color w:val="000000" w:themeColor="text1"/>
          <w:lang w:val="en-US" w:eastAsia="zh-CN"/>
          <w14:textFill>
            <w14:solidFill>
              <w14:schemeClr w14:val="tx1"/>
            </w14:solidFill>
          </w14:textFill>
        </w:rPr>
      </w:pPr>
      <w:bookmarkStart w:id="72" w:name="_Toc12491"/>
      <w:r>
        <w:rPr>
          <w:rFonts w:hint="default" w:ascii="Times New Roman" w:hAnsi="Times New Roman" w:eastAsia="宋体" w:cs="Times New Roman"/>
          <w:color w:val="000000" w:themeColor="text1"/>
          <w:lang w:val="en-US" w:eastAsia="zh-CN"/>
          <w14:textFill>
            <w14:solidFill>
              <w14:schemeClr w14:val="tx1"/>
            </w14:solidFill>
          </w14:textFill>
        </w:rPr>
        <w:t>6 结论</w:t>
      </w:r>
      <w:bookmarkEnd w:id="72"/>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根据现状监测结果，本项目拟建升压站站址区域工频电场强度、工频磁感应强度均满足《电磁环境控制限值》（GB 8702-2014）表1 中公众曝露控制限值的要求，即工频电场强度≤4000V/m、工频磁感应强度≤100μT。根据类比预测结果，项目运营期升压站站界工频电场强度、工频磁感应强度均满足《电磁环境控制限值》（GB 8702-2014）表1 中公众曝露控制限值的要求。本项目对周围电磁环境影响较小。</w:t>
      </w:r>
    </w:p>
    <w:sectPr>
      <w:footerReference r:id="rId8" w:type="default"/>
      <w:pgSz w:w="11906" w:h="16838"/>
      <w:pgMar w:top="1440" w:right="1587" w:bottom="1440" w:left="1587" w:header="851" w:footer="1077"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新宋体-18030">
    <w:altName w:val="宋体"/>
    <w:panose1 w:val="00000000000000000000"/>
    <w:charset w:val="00"/>
    <w:family w:val="auto"/>
    <w:pitch w:val="default"/>
    <w:sig w:usb0="00000000" w:usb1="00000000" w:usb2="00000000"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TimesNewRomanPSMT">
    <w:altName w:val="Times New Roman"/>
    <w:panose1 w:val="00000000000000000000"/>
    <w:charset w:val="80"/>
    <w:family w:val="auto"/>
    <w:pitch w:val="default"/>
    <w:sig w:usb0="00000000" w:usb1="00000000" w:usb2="00000000" w:usb3="00000000" w:csb0="00020000" w:csb1="00000000"/>
  </w:font>
  <w:font w:name="TimesNewRomanPS-BoldMT">
    <w:altName w:val="宋体"/>
    <w:panose1 w:val="00000000000000000000"/>
    <w:charset w:val="86"/>
    <w:family w:val="auto"/>
    <w:pitch w:val="default"/>
    <w:sig w:usb0="00000000" w:usb1="00000000" w:usb2="00000000" w:usb3="00000000" w:csb0="00040000" w:csb1="00000000"/>
  </w:font>
  <w:font w:name="TimesNewRomanPS-ItalicMT">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422"/>
        <w:tab w:val="clear" w:pos="4153"/>
      </w:tabs>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Fonts w:hint="eastAsia" w:eastAsia="宋体"/>
                              <w:lang w:val="en-US" w:eastAsia="zh-CN"/>
                            </w:rPr>
                          </w:pPr>
                        </w:p>
                      </w:txbxContent>
                    </wps:txbx>
                    <wps:bodyPr vert="horz" wrap="none" lIns="0" tIns="0" rIns="0" bIns="0" anchor="t" anchorCtr="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A6IIizgAQAAwgMAAA4AAAAA&#10;AAAAAQAgAAAAHgEAAGRycy9lMm9Eb2MueG1sUEsFBgAAAAAGAAYAWQEAAHAFAAAAAA==&#10;">
              <v:fill on="f" focussize="0,0"/>
              <v:stroke on="f"/>
              <v:imagedata o:title=""/>
              <o:lock v:ext="edit" aspectratio="f"/>
              <v:textbox inset="0mm,0mm,0mm,0mm" style="mso-fit-shape-to-text:t;">
                <w:txbxContent>
                  <w:p>
                    <w:pPr>
                      <w:pStyle w:val="16"/>
                      <w:rPr>
                        <w:rFonts w:hint="eastAsia" w:eastAsia="宋体"/>
                        <w:lang w:val="en-US"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25"/>
      </w:rPr>
    </w:pPr>
    <w:r>
      <w:rPr>
        <w:rStyle w:val="25"/>
      </w:rPr>
      <w:fldChar w:fldCharType="begin"/>
    </w:r>
    <w:r>
      <w:rPr>
        <w:rStyle w:val="25"/>
      </w:rPr>
      <w:instrText xml:space="preserve">PAGE  </w:instrText>
    </w:r>
    <w:r>
      <w:rPr>
        <w:rStyle w:val="25"/>
      </w:rP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Fonts w:hint="eastAsia" w:eastAsia="宋体"/>
                              <w:lang w:val="en-US" w:eastAsia="zh-CN"/>
                            </w:rPr>
                          </w:pP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ocxw8kBAACaAwAADgAAAGRycy9lMm9Eb2MueG1srVPNjtMwEL4j8Q6W&#10;79RpD6hE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mZJieMWJ375/u3y49fl51ey&#10;yvr0AWpMewiYmIY7P+DWzH5AZ6Y9qGjzFwkRjKO656u6ckhE5Efr1XpdYUhgbL4gPnt8HiKkt9Jb&#10;ko2GRhxfUZWf3kMaU+eUXM35e21MGaFxfzkQM3tY7n3sMVtp2A8Tob1vz8inx8k31OGiU2LeORQ2&#10;L8lsxNnYz8YxRH3oyhblehBujwmbKL3lCiPsVBhHVthN65V34s97yXr8pb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ahzHDyQEAAJoDAAAOAAAAAAAAAAEAIAAAAB4BAABkcnMvZTJvRG9j&#10;LnhtbFBLBQYAAAAABgAGAFkBAABZBQAAAAA=&#10;">
              <v:fill on="f" focussize="0,0"/>
              <v:stroke on="f"/>
              <v:imagedata o:title=""/>
              <o:lock v:ext="edit" aspectratio="f"/>
              <v:textbox inset="0mm,0mm,0mm,0mm" style="mso-fit-shape-to-text:t;">
                <w:txbxContent>
                  <w:p>
                    <w:pPr>
                      <w:pStyle w:val="16"/>
                      <w:rPr>
                        <w:rFonts w:hint="eastAsia" w:eastAsia="宋体"/>
                        <w:lang w:val="en-US"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Fonts w:hint="eastAsia" w:eastAsia="宋体"/>
                              <w:lang w:val="en-US" w:eastAsia="zh-CN"/>
                            </w:rPr>
                          </w:pP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1e/csgBAACZ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cWxO25x4Ocf388/f59/fSPL&#10;LE8foMasx4B5abjxAy7N7Ad0ZtaDijZ/kQ/BOIp7uogrh0REfrRarlYVhgTG5gvis6fnIUK6k96S&#10;bDQ04vSKqPx4D2lMnVNyNedvtTFlgsb95UDM7GG597HHbKVhN0yEdr49IZ8eB99Qh3tOifnoUNe8&#10;I7MRZ2M3G4cQ9b4rS5TrQfhwSNhE6S1XGGGnwjixwm7arrwSz+8l6+mP2v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9Xv3LIAQAAmQMAAA4AAAAAAAAAAQAgAAAAHgEAAGRycy9lMm9Eb2Mu&#10;eG1sUEsFBgAAAAAGAAYAWQEAAFgFAAAAAA==&#10;">
              <v:fill on="f" focussize="0,0"/>
              <v:stroke on="f"/>
              <v:imagedata o:title=""/>
              <o:lock v:ext="edit" aspectratio="f"/>
              <v:textbox inset="0mm,0mm,0mm,0mm" style="mso-fit-shape-to-text:t;">
                <w:txbxContent>
                  <w:p>
                    <w:pPr>
                      <w:pStyle w:val="16"/>
                      <w:rPr>
                        <w:rFonts w:hint="eastAsia" w:eastAsia="宋体"/>
                        <w:lang w:val="en-US" w:eastAsia="zh-C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JIm6CfgAQAAwgMAAA4AAAAA&#10;AAAAAQAgAAAAHgEAAGRycy9lMm9Eb2MueG1sUEsFBgAAAAAGAAYAWQEAAHA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Fonts w:hint="eastAsia" w:eastAsia="宋体"/>
                              <w:lang w:val="en-US" w:eastAsia="zh-CN"/>
                            </w:rPr>
                          </w:pP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601Icg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s&#10;sj59gBrT7gMmpuGdHzB39gM6M+1BRZu/SIhgHNU9X9WVQyIiP1qv1usKQwJj8wXx2cPzECG9l96S&#10;bDQ04viKqvz0EdKYOqfkas7faWPKCI37x4GY2cNy72OP2UrDfpgI7X17Rj49Tr6hDhedEvPBobB5&#10;SWYjzsZ+No4h6kNXtijXg3B7TNhE6S1XGGGnwjiywm5ar7wTj+8l6+GX2v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etNSHIAQAAmgMAAA4AAAAAAAAAAQAgAAAAHgEAAGRycy9lMm9Eb2Mu&#10;eG1sUEsFBgAAAAAGAAYAWQEAAFgFAAAAAA==&#10;">
              <v:fill on="f" focussize="0,0"/>
              <v:stroke on="f"/>
              <v:imagedata o:title=""/>
              <o:lock v:ext="edit" aspectratio="f"/>
              <v:textbox inset="0mm,0mm,0mm,0mm" style="mso-fit-shape-to-text:t;">
                <w:txbxContent>
                  <w:p>
                    <w:pPr>
                      <w:pStyle w:val="16"/>
                      <w:rPr>
                        <w:rFonts w:hint="eastAsia" w:eastAsia="宋体"/>
                        <w:lang w:val="en-US" w:eastAsia="zh-CN"/>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56</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Fonts w:hint="eastAsia" w:eastAsia="宋体"/>
                              <w:lang w:val="en-US" w:eastAsia="zh-CN"/>
                            </w:rPr>
                          </w:pP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MD5mskBAACa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vKXHc4sTPP3+cf/05//5O&#10;ll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4wPmayQEAAJoDAAAOAAAAAAAAAAEAIAAAAB4BAABkcnMvZTJvRG9j&#10;LnhtbFBLBQYAAAAABgAGAFkBAABZBQAAAAA=&#10;">
              <v:fill on="f" focussize="0,0"/>
              <v:stroke on="f"/>
              <v:imagedata o:title=""/>
              <o:lock v:ext="edit" aspectratio="f"/>
              <v:textbox inset="0mm,0mm,0mm,0mm" style="mso-fit-shape-to-text:t;">
                <w:txbxContent>
                  <w:p>
                    <w:pPr>
                      <w:pStyle w:val="16"/>
                      <w:rPr>
                        <w:rFonts w:hint="eastAsia" w:eastAsia="宋体"/>
                        <w:lang w:val="en-US"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BDDDBD"/>
    <w:multiLevelType w:val="singleLevel"/>
    <w:tmpl w:val="ECBDDDBD"/>
    <w:lvl w:ilvl="0" w:tentative="0">
      <w:start w:val="1"/>
      <w:numFmt w:val="lowerLetter"/>
      <w:suff w:val="space"/>
      <w:lvlText w:val="%1."/>
      <w:lvlJc w:val="left"/>
    </w:lvl>
  </w:abstractNum>
  <w:abstractNum w:abstractNumId="1">
    <w:nsid w:val="1C85336E"/>
    <w:multiLevelType w:val="singleLevel"/>
    <w:tmpl w:val="1C85336E"/>
    <w:lvl w:ilvl="0" w:tentative="0">
      <w:start w:val="1"/>
      <w:numFmt w:val="decimal"/>
      <w:pStyle w:val="7"/>
      <w:lvlText w:val="%1."/>
      <w:lvlJc w:val="left"/>
      <w:pPr>
        <w:tabs>
          <w:tab w:val="left" w:pos="360"/>
        </w:tabs>
        <w:ind w:left="360" w:hanging="360"/>
      </w:pPr>
    </w:lvl>
  </w:abstractNum>
  <w:abstractNum w:abstractNumId="2">
    <w:nsid w:val="7A305C04"/>
    <w:multiLevelType w:val="multilevel"/>
    <w:tmpl w:val="7A305C04"/>
    <w:lvl w:ilvl="0" w:tentative="0">
      <w:start w:val="1"/>
      <w:numFmt w:val="decimal"/>
      <w:pStyle w:val="8"/>
      <w:lvlText w:val="表%1 "/>
      <w:lvlJc w:val="left"/>
      <w:pPr>
        <w:ind w:left="902" w:hanging="420"/>
      </w:pPr>
      <w:rPr>
        <w:rFonts w:hint="default" w:ascii="Times New Roman" w:hAnsi="Times New Roman" w:eastAsia="宋体" w:cs="Times New Roman"/>
        <w:b/>
        <w:sz w:val="24"/>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kYTIzNzAwODk1NGU5MjM5N2Y0ODE3NWFjODQzZTAifQ=="/>
  </w:docVars>
  <w:rsids>
    <w:rsidRoot w:val="00172A27"/>
    <w:rsid w:val="00001CED"/>
    <w:rsid w:val="00001E67"/>
    <w:rsid w:val="00003CD8"/>
    <w:rsid w:val="000145EC"/>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1AAD"/>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4528E"/>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47B5"/>
    <w:rsid w:val="003766EA"/>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054"/>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0DCC"/>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307"/>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C7414"/>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5347"/>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3B97"/>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841D9"/>
    <w:rsid w:val="00F90AA7"/>
    <w:rsid w:val="00F9212D"/>
    <w:rsid w:val="00FA301A"/>
    <w:rsid w:val="00FA406A"/>
    <w:rsid w:val="00FA5CB6"/>
    <w:rsid w:val="00FC66AC"/>
    <w:rsid w:val="00FD18F4"/>
    <w:rsid w:val="00FD74B4"/>
    <w:rsid w:val="00FF6FCE"/>
    <w:rsid w:val="00FF7518"/>
    <w:rsid w:val="00FF7FD8"/>
    <w:rsid w:val="01251AC9"/>
    <w:rsid w:val="013A1CD0"/>
    <w:rsid w:val="0149572E"/>
    <w:rsid w:val="01797BEE"/>
    <w:rsid w:val="017B07A6"/>
    <w:rsid w:val="017C40DF"/>
    <w:rsid w:val="01A3569F"/>
    <w:rsid w:val="01B57C70"/>
    <w:rsid w:val="01C73422"/>
    <w:rsid w:val="01C901A1"/>
    <w:rsid w:val="01E94C0E"/>
    <w:rsid w:val="0200364B"/>
    <w:rsid w:val="02270EB2"/>
    <w:rsid w:val="025B572A"/>
    <w:rsid w:val="0281282A"/>
    <w:rsid w:val="02A05554"/>
    <w:rsid w:val="02BB4672"/>
    <w:rsid w:val="02D35B94"/>
    <w:rsid w:val="030B4515"/>
    <w:rsid w:val="031C746B"/>
    <w:rsid w:val="032F2286"/>
    <w:rsid w:val="033379C0"/>
    <w:rsid w:val="03863A4F"/>
    <w:rsid w:val="03991DF6"/>
    <w:rsid w:val="03E1793F"/>
    <w:rsid w:val="03E63A70"/>
    <w:rsid w:val="03F1578E"/>
    <w:rsid w:val="03F316B4"/>
    <w:rsid w:val="04160616"/>
    <w:rsid w:val="042F51B9"/>
    <w:rsid w:val="043C06AE"/>
    <w:rsid w:val="0455536E"/>
    <w:rsid w:val="04623549"/>
    <w:rsid w:val="048209F9"/>
    <w:rsid w:val="048E2A34"/>
    <w:rsid w:val="04A51702"/>
    <w:rsid w:val="04CA4C2A"/>
    <w:rsid w:val="04DD0362"/>
    <w:rsid w:val="04E61325"/>
    <w:rsid w:val="04F35297"/>
    <w:rsid w:val="04F40CAE"/>
    <w:rsid w:val="050F6813"/>
    <w:rsid w:val="051937ED"/>
    <w:rsid w:val="051E25B2"/>
    <w:rsid w:val="05263B5D"/>
    <w:rsid w:val="05407771"/>
    <w:rsid w:val="05742AC8"/>
    <w:rsid w:val="058D14E6"/>
    <w:rsid w:val="05A677C8"/>
    <w:rsid w:val="05B004B1"/>
    <w:rsid w:val="05C62577"/>
    <w:rsid w:val="0605524A"/>
    <w:rsid w:val="06093262"/>
    <w:rsid w:val="06352F05"/>
    <w:rsid w:val="063E7D85"/>
    <w:rsid w:val="06463BC9"/>
    <w:rsid w:val="0647204E"/>
    <w:rsid w:val="067D59FE"/>
    <w:rsid w:val="06857C4D"/>
    <w:rsid w:val="069F41B1"/>
    <w:rsid w:val="06C13B3D"/>
    <w:rsid w:val="07042A98"/>
    <w:rsid w:val="070875E0"/>
    <w:rsid w:val="07161163"/>
    <w:rsid w:val="07161B46"/>
    <w:rsid w:val="07293586"/>
    <w:rsid w:val="07295285"/>
    <w:rsid w:val="07770C56"/>
    <w:rsid w:val="07950B26"/>
    <w:rsid w:val="07A45A0B"/>
    <w:rsid w:val="07C869BE"/>
    <w:rsid w:val="07D93A18"/>
    <w:rsid w:val="07DC0503"/>
    <w:rsid w:val="082C6D49"/>
    <w:rsid w:val="08BD41F5"/>
    <w:rsid w:val="08D15B8E"/>
    <w:rsid w:val="08DE65AA"/>
    <w:rsid w:val="08E31C94"/>
    <w:rsid w:val="08F079E6"/>
    <w:rsid w:val="09006F08"/>
    <w:rsid w:val="090F3AA0"/>
    <w:rsid w:val="090F7036"/>
    <w:rsid w:val="092217DD"/>
    <w:rsid w:val="093A7294"/>
    <w:rsid w:val="093F2DBC"/>
    <w:rsid w:val="096D1C24"/>
    <w:rsid w:val="098F7660"/>
    <w:rsid w:val="09BA124F"/>
    <w:rsid w:val="09C15BF9"/>
    <w:rsid w:val="09CD4FC7"/>
    <w:rsid w:val="0A1B3B9A"/>
    <w:rsid w:val="0A266FC1"/>
    <w:rsid w:val="0A290469"/>
    <w:rsid w:val="0A294E8C"/>
    <w:rsid w:val="0A8327C7"/>
    <w:rsid w:val="0A9C7435"/>
    <w:rsid w:val="0AB21A23"/>
    <w:rsid w:val="0AB539B9"/>
    <w:rsid w:val="0AC10861"/>
    <w:rsid w:val="0AF26E0C"/>
    <w:rsid w:val="0B072253"/>
    <w:rsid w:val="0B0B4625"/>
    <w:rsid w:val="0B2F4EA4"/>
    <w:rsid w:val="0B5555AB"/>
    <w:rsid w:val="0BD27BF6"/>
    <w:rsid w:val="0BE224F6"/>
    <w:rsid w:val="0BED3E84"/>
    <w:rsid w:val="0C1E2FF2"/>
    <w:rsid w:val="0C2308AD"/>
    <w:rsid w:val="0C757A6E"/>
    <w:rsid w:val="0CB67574"/>
    <w:rsid w:val="0CBB12D9"/>
    <w:rsid w:val="0CC2278B"/>
    <w:rsid w:val="0CC46970"/>
    <w:rsid w:val="0CD65E24"/>
    <w:rsid w:val="0CE759C7"/>
    <w:rsid w:val="0CEB7EF6"/>
    <w:rsid w:val="0CEC158A"/>
    <w:rsid w:val="0D1B7A2B"/>
    <w:rsid w:val="0D42629A"/>
    <w:rsid w:val="0D8F1D44"/>
    <w:rsid w:val="0E110D06"/>
    <w:rsid w:val="0E4C5706"/>
    <w:rsid w:val="0E7951F6"/>
    <w:rsid w:val="0E962659"/>
    <w:rsid w:val="0EB564BC"/>
    <w:rsid w:val="0EE44BFC"/>
    <w:rsid w:val="0EF63F74"/>
    <w:rsid w:val="0F0837A0"/>
    <w:rsid w:val="0F13775A"/>
    <w:rsid w:val="0F166CC3"/>
    <w:rsid w:val="0F1830C1"/>
    <w:rsid w:val="0F3D0A5C"/>
    <w:rsid w:val="0F3E482C"/>
    <w:rsid w:val="0F44530B"/>
    <w:rsid w:val="0F481481"/>
    <w:rsid w:val="0F904C31"/>
    <w:rsid w:val="0F9A112B"/>
    <w:rsid w:val="0FA91612"/>
    <w:rsid w:val="0FB22A55"/>
    <w:rsid w:val="0FB7125F"/>
    <w:rsid w:val="0FBA6061"/>
    <w:rsid w:val="0FD7257E"/>
    <w:rsid w:val="0FEF171B"/>
    <w:rsid w:val="0FF32E29"/>
    <w:rsid w:val="101C3B92"/>
    <w:rsid w:val="1035036E"/>
    <w:rsid w:val="1047253E"/>
    <w:rsid w:val="104F53E8"/>
    <w:rsid w:val="106D2F64"/>
    <w:rsid w:val="10877952"/>
    <w:rsid w:val="10B63710"/>
    <w:rsid w:val="10D70DBB"/>
    <w:rsid w:val="111C2F7A"/>
    <w:rsid w:val="11230F50"/>
    <w:rsid w:val="113013DE"/>
    <w:rsid w:val="1155123C"/>
    <w:rsid w:val="1164759D"/>
    <w:rsid w:val="116D2296"/>
    <w:rsid w:val="116E48C1"/>
    <w:rsid w:val="117F20D1"/>
    <w:rsid w:val="11836890"/>
    <w:rsid w:val="11A71B81"/>
    <w:rsid w:val="11BD2243"/>
    <w:rsid w:val="11E74269"/>
    <w:rsid w:val="11FB1211"/>
    <w:rsid w:val="1221796B"/>
    <w:rsid w:val="122B06C2"/>
    <w:rsid w:val="12333415"/>
    <w:rsid w:val="12837EF9"/>
    <w:rsid w:val="12C10A21"/>
    <w:rsid w:val="12DB2CDA"/>
    <w:rsid w:val="12DE5358"/>
    <w:rsid w:val="12EB1D50"/>
    <w:rsid w:val="12EC6FD6"/>
    <w:rsid w:val="12F1528F"/>
    <w:rsid w:val="12FE7FDC"/>
    <w:rsid w:val="132C233E"/>
    <w:rsid w:val="133D454B"/>
    <w:rsid w:val="13404E25"/>
    <w:rsid w:val="13422ADA"/>
    <w:rsid w:val="138813A0"/>
    <w:rsid w:val="13901C58"/>
    <w:rsid w:val="13951726"/>
    <w:rsid w:val="13AA1367"/>
    <w:rsid w:val="13B6462D"/>
    <w:rsid w:val="13C479B3"/>
    <w:rsid w:val="140A40E3"/>
    <w:rsid w:val="141C3355"/>
    <w:rsid w:val="14396509"/>
    <w:rsid w:val="14436125"/>
    <w:rsid w:val="1447165C"/>
    <w:rsid w:val="14895D9F"/>
    <w:rsid w:val="14AB1989"/>
    <w:rsid w:val="14AF317E"/>
    <w:rsid w:val="14F22EE3"/>
    <w:rsid w:val="15063063"/>
    <w:rsid w:val="15185596"/>
    <w:rsid w:val="151A266A"/>
    <w:rsid w:val="155004AB"/>
    <w:rsid w:val="15667941"/>
    <w:rsid w:val="15961BB6"/>
    <w:rsid w:val="15CD7038"/>
    <w:rsid w:val="164440E9"/>
    <w:rsid w:val="16475A0F"/>
    <w:rsid w:val="166A03A5"/>
    <w:rsid w:val="168E788F"/>
    <w:rsid w:val="16980066"/>
    <w:rsid w:val="16AD4750"/>
    <w:rsid w:val="16C94F78"/>
    <w:rsid w:val="16CA259A"/>
    <w:rsid w:val="16F666F4"/>
    <w:rsid w:val="176B039E"/>
    <w:rsid w:val="176F6C9D"/>
    <w:rsid w:val="17735226"/>
    <w:rsid w:val="177711B5"/>
    <w:rsid w:val="177E15D6"/>
    <w:rsid w:val="17B45C63"/>
    <w:rsid w:val="17BA22B4"/>
    <w:rsid w:val="17D55FD6"/>
    <w:rsid w:val="18054537"/>
    <w:rsid w:val="18213C4E"/>
    <w:rsid w:val="184E3161"/>
    <w:rsid w:val="18573EF8"/>
    <w:rsid w:val="18762A22"/>
    <w:rsid w:val="18C96255"/>
    <w:rsid w:val="18D70712"/>
    <w:rsid w:val="18ED2570"/>
    <w:rsid w:val="19062D8D"/>
    <w:rsid w:val="19386536"/>
    <w:rsid w:val="194A79C2"/>
    <w:rsid w:val="196C1720"/>
    <w:rsid w:val="198446E6"/>
    <w:rsid w:val="198D3532"/>
    <w:rsid w:val="19994583"/>
    <w:rsid w:val="19B94F6D"/>
    <w:rsid w:val="19BF7295"/>
    <w:rsid w:val="19E85EDA"/>
    <w:rsid w:val="19FA27BF"/>
    <w:rsid w:val="1A0A2E0B"/>
    <w:rsid w:val="1A1C66C0"/>
    <w:rsid w:val="1A356E43"/>
    <w:rsid w:val="1A3D7343"/>
    <w:rsid w:val="1A42393B"/>
    <w:rsid w:val="1A58610F"/>
    <w:rsid w:val="1A830D8A"/>
    <w:rsid w:val="1A911621"/>
    <w:rsid w:val="1AB86F6A"/>
    <w:rsid w:val="1AF65C24"/>
    <w:rsid w:val="1AFA4534"/>
    <w:rsid w:val="1AFD4E1C"/>
    <w:rsid w:val="1B046F80"/>
    <w:rsid w:val="1B1979D6"/>
    <w:rsid w:val="1B3267B5"/>
    <w:rsid w:val="1B446693"/>
    <w:rsid w:val="1B5421D7"/>
    <w:rsid w:val="1B7B7633"/>
    <w:rsid w:val="1B9D0D9D"/>
    <w:rsid w:val="1BA548B0"/>
    <w:rsid w:val="1BC25DC8"/>
    <w:rsid w:val="1BCC521B"/>
    <w:rsid w:val="1BE748CF"/>
    <w:rsid w:val="1BF73705"/>
    <w:rsid w:val="1BF86013"/>
    <w:rsid w:val="1C0051D8"/>
    <w:rsid w:val="1C066A86"/>
    <w:rsid w:val="1C166A5C"/>
    <w:rsid w:val="1C292AEA"/>
    <w:rsid w:val="1C2B3D9F"/>
    <w:rsid w:val="1C2C12EC"/>
    <w:rsid w:val="1C47664D"/>
    <w:rsid w:val="1C5E7925"/>
    <w:rsid w:val="1C887FC8"/>
    <w:rsid w:val="1CC26AB5"/>
    <w:rsid w:val="1CD1596F"/>
    <w:rsid w:val="1CD27C09"/>
    <w:rsid w:val="1CEA58E9"/>
    <w:rsid w:val="1D007990"/>
    <w:rsid w:val="1D0964E7"/>
    <w:rsid w:val="1D5D435D"/>
    <w:rsid w:val="1D5F6196"/>
    <w:rsid w:val="1D6132A5"/>
    <w:rsid w:val="1D681AA5"/>
    <w:rsid w:val="1D741F07"/>
    <w:rsid w:val="1D8E56D5"/>
    <w:rsid w:val="1D9B4CC9"/>
    <w:rsid w:val="1DB00010"/>
    <w:rsid w:val="1DC94859"/>
    <w:rsid w:val="1DF52CCA"/>
    <w:rsid w:val="1DF95E71"/>
    <w:rsid w:val="1E1B44E3"/>
    <w:rsid w:val="1E3C6E79"/>
    <w:rsid w:val="1E4A2862"/>
    <w:rsid w:val="1E564AB5"/>
    <w:rsid w:val="1E6E0C44"/>
    <w:rsid w:val="1E7A43DA"/>
    <w:rsid w:val="1E7B061E"/>
    <w:rsid w:val="1E96509B"/>
    <w:rsid w:val="1EB277FE"/>
    <w:rsid w:val="1EDB1964"/>
    <w:rsid w:val="1EDC2A91"/>
    <w:rsid w:val="1F2B440C"/>
    <w:rsid w:val="1F4313D9"/>
    <w:rsid w:val="1F6974E7"/>
    <w:rsid w:val="1FDF7E62"/>
    <w:rsid w:val="1FE7539E"/>
    <w:rsid w:val="200906FD"/>
    <w:rsid w:val="201C6A9A"/>
    <w:rsid w:val="20322CFB"/>
    <w:rsid w:val="2043273C"/>
    <w:rsid w:val="205E01F7"/>
    <w:rsid w:val="206750B4"/>
    <w:rsid w:val="20963CB8"/>
    <w:rsid w:val="20A34B34"/>
    <w:rsid w:val="20B07FB6"/>
    <w:rsid w:val="20BC288E"/>
    <w:rsid w:val="20D14525"/>
    <w:rsid w:val="20E26340"/>
    <w:rsid w:val="20EE1FDA"/>
    <w:rsid w:val="213B74B1"/>
    <w:rsid w:val="21426951"/>
    <w:rsid w:val="215A2310"/>
    <w:rsid w:val="21613E9D"/>
    <w:rsid w:val="216A3DE4"/>
    <w:rsid w:val="216D4906"/>
    <w:rsid w:val="219D1BCF"/>
    <w:rsid w:val="21DE318A"/>
    <w:rsid w:val="21DF2927"/>
    <w:rsid w:val="21EF5B80"/>
    <w:rsid w:val="21FC2FDB"/>
    <w:rsid w:val="2218481D"/>
    <w:rsid w:val="22392B29"/>
    <w:rsid w:val="224D22D1"/>
    <w:rsid w:val="22576990"/>
    <w:rsid w:val="22725BE9"/>
    <w:rsid w:val="227401A7"/>
    <w:rsid w:val="227A6AB2"/>
    <w:rsid w:val="22950329"/>
    <w:rsid w:val="229C4EAB"/>
    <w:rsid w:val="22AB4E2C"/>
    <w:rsid w:val="22BB1E30"/>
    <w:rsid w:val="22BD2FB3"/>
    <w:rsid w:val="22CE5740"/>
    <w:rsid w:val="22EA3023"/>
    <w:rsid w:val="22F62969"/>
    <w:rsid w:val="2309444A"/>
    <w:rsid w:val="233F124C"/>
    <w:rsid w:val="23452FA8"/>
    <w:rsid w:val="23496341"/>
    <w:rsid w:val="236714DD"/>
    <w:rsid w:val="237254F6"/>
    <w:rsid w:val="238241FC"/>
    <w:rsid w:val="23A57A3A"/>
    <w:rsid w:val="243E6375"/>
    <w:rsid w:val="24484809"/>
    <w:rsid w:val="24726AAA"/>
    <w:rsid w:val="247B3C3F"/>
    <w:rsid w:val="248508C8"/>
    <w:rsid w:val="24892F54"/>
    <w:rsid w:val="24A740ED"/>
    <w:rsid w:val="24AE43AB"/>
    <w:rsid w:val="24C031F9"/>
    <w:rsid w:val="24F219F5"/>
    <w:rsid w:val="24F81AF8"/>
    <w:rsid w:val="24FA29AF"/>
    <w:rsid w:val="2501090E"/>
    <w:rsid w:val="251C78A5"/>
    <w:rsid w:val="252D53FE"/>
    <w:rsid w:val="253015E1"/>
    <w:rsid w:val="253E1C04"/>
    <w:rsid w:val="25512005"/>
    <w:rsid w:val="2559008D"/>
    <w:rsid w:val="258B6CD2"/>
    <w:rsid w:val="258E7601"/>
    <w:rsid w:val="258F7F03"/>
    <w:rsid w:val="259F40A6"/>
    <w:rsid w:val="25A25892"/>
    <w:rsid w:val="25A73154"/>
    <w:rsid w:val="25DE4C94"/>
    <w:rsid w:val="25EC2D81"/>
    <w:rsid w:val="2607499E"/>
    <w:rsid w:val="262D66A1"/>
    <w:rsid w:val="264528BD"/>
    <w:rsid w:val="26F914A3"/>
    <w:rsid w:val="271F3F61"/>
    <w:rsid w:val="277F4D56"/>
    <w:rsid w:val="27A14183"/>
    <w:rsid w:val="27BD4F4B"/>
    <w:rsid w:val="27BE7E33"/>
    <w:rsid w:val="27C070A1"/>
    <w:rsid w:val="27D15DD1"/>
    <w:rsid w:val="27D346D1"/>
    <w:rsid w:val="27F54F9D"/>
    <w:rsid w:val="281E30AB"/>
    <w:rsid w:val="28243568"/>
    <w:rsid w:val="283445BF"/>
    <w:rsid w:val="28427BEC"/>
    <w:rsid w:val="28685937"/>
    <w:rsid w:val="28920A3E"/>
    <w:rsid w:val="28A76295"/>
    <w:rsid w:val="29206EB8"/>
    <w:rsid w:val="29532338"/>
    <w:rsid w:val="29A97A33"/>
    <w:rsid w:val="29AE22F6"/>
    <w:rsid w:val="29E325E0"/>
    <w:rsid w:val="29EB79F4"/>
    <w:rsid w:val="29ED7A17"/>
    <w:rsid w:val="29FF65A7"/>
    <w:rsid w:val="2A052728"/>
    <w:rsid w:val="2A141B26"/>
    <w:rsid w:val="2A315081"/>
    <w:rsid w:val="2A452503"/>
    <w:rsid w:val="2A746B03"/>
    <w:rsid w:val="2AA11725"/>
    <w:rsid w:val="2AAE6245"/>
    <w:rsid w:val="2AB159D3"/>
    <w:rsid w:val="2AB253C7"/>
    <w:rsid w:val="2ACA74BC"/>
    <w:rsid w:val="2ADA4660"/>
    <w:rsid w:val="2AFB4397"/>
    <w:rsid w:val="2B0552F6"/>
    <w:rsid w:val="2B291A0E"/>
    <w:rsid w:val="2B5A3101"/>
    <w:rsid w:val="2B6A7EA5"/>
    <w:rsid w:val="2B8653D7"/>
    <w:rsid w:val="2B880DCB"/>
    <w:rsid w:val="2B991CFC"/>
    <w:rsid w:val="2BA936A8"/>
    <w:rsid w:val="2BD72395"/>
    <w:rsid w:val="2BE0205B"/>
    <w:rsid w:val="2C2C73FB"/>
    <w:rsid w:val="2C315A5A"/>
    <w:rsid w:val="2C362245"/>
    <w:rsid w:val="2C397CA8"/>
    <w:rsid w:val="2CAB7D5D"/>
    <w:rsid w:val="2CBD44DA"/>
    <w:rsid w:val="2CCE400E"/>
    <w:rsid w:val="2D1934DC"/>
    <w:rsid w:val="2D1A62EC"/>
    <w:rsid w:val="2D387954"/>
    <w:rsid w:val="2D3B381A"/>
    <w:rsid w:val="2D3F1A43"/>
    <w:rsid w:val="2D430559"/>
    <w:rsid w:val="2D692EF6"/>
    <w:rsid w:val="2D9E56F5"/>
    <w:rsid w:val="2DCD24FF"/>
    <w:rsid w:val="2DCD34F3"/>
    <w:rsid w:val="2DFA483F"/>
    <w:rsid w:val="2E00469C"/>
    <w:rsid w:val="2E100A27"/>
    <w:rsid w:val="2E1046FC"/>
    <w:rsid w:val="2E126AE7"/>
    <w:rsid w:val="2E1F3391"/>
    <w:rsid w:val="2E2C1A7B"/>
    <w:rsid w:val="2E5E5F2C"/>
    <w:rsid w:val="2E667F96"/>
    <w:rsid w:val="2E8226AB"/>
    <w:rsid w:val="2EC245BF"/>
    <w:rsid w:val="2EDF0A5B"/>
    <w:rsid w:val="2F1523C9"/>
    <w:rsid w:val="2F2A5A49"/>
    <w:rsid w:val="2F302D5E"/>
    <w:rsid w:val="2F381964"/>
    <w:rsid w:val="2F3C615D"/>
    <w:rsid w:val="2F4D432B"/>
    <w:rsid w:val="2F811CF4"/>
    <w:rsid w:val="2F832C79"/>
    <w:rsid w:val="2FB44542"/>
    <w:rsid w:val="2FC8394E"/>
    <w:rsid w:val="2FDF4C02"/>
    <w:rsid w:val="2FEA7DAB"/>
    <w:rsid w:val="2FEF2D58"/>
    <w:rsid w:val="2FF40230"/>
    <w:rsid w:val="2FF95846"/>
    <w:rsid w:val="30580BC9"/>
    <w:rsid w:val="306A661B"/>
    <w:rsid w:val="308617E4"/>
    <w:rsid w:val="30914AE5"/>
    <w:rsid w:val="30A60A3C"/>
    <w:rsid w:val="30BA3984"/>
    <w:rsid w:val="30BB5D38"/>
    <w:rsid w:val="31022529"/>
    <w:rsid w:val="311E2ED7"/>
    <w:rsid w:val="311F1E43"/>
    <w:rsid w:val="312D727C"/>
    <w:rsid w:val="31326136"/>
    <w:rsid w:val="315C449C"/>
    <w:rsid w:val="316867E0"/>
    <w:rsid w:val="316E5149"/>
    <w:rsid w:val="318600D2"/>
    <w:rsid w:val="31965D63"/>
    <w:rsid w:val="31B82709"/>
    <w:rsid w:val="31BB3487"/>
    <w:rsid w:val="31C70003"/>
    <w:rsid w:val="31D2228D"/>
    <w:rsid w:val="31E0274B"/>
    <w:rsid w:val="31E44E46"/>
    <w:rsid w:val="3208018A"/>
    <w:rsid w:val="320A6BD7"/>
    <w:rsid w:val="32180AC6"/>
    <w:rsid w:val="32184B14"/>
    <w:rsid w:val="32324285"/>
    <w:rsid w:val="32400B34"/>
    <w:rsid w:val="32803FFD"/>
    <w:rsid w:val="329E6876"/>
    <w:rsid w:val="32B06D0D"/>
    <w:rsid w:val="32CC1583"/>
    <w:rsid w:val="33014808"/>
    <w:rsid w:val="330359EE"/>
    <w:rsid w:val="330B454D"/>
    <w:rsid w:val="331319B5"/>
    <w:rsid w:val="3314190D"/>
    <w:rsid w:val="335169B2"/>
    <w:rsid w:val="33805505"/>
    <w:rsid w:val="33890C8F"/>
    <w:rsid w:val="33916300"/>
    <w:rsid w:val="33BF4F10"/>
    <w:rsid w:val="33D61232"/>
    <w:rsid w:val="33D934D4"/>
    <w:rsid w:val="33F8710C"/>
    <w:rsid w:val="33FE2F6A"/>
    <w:rsid w:val="348576A9"/>
    <w:rsid w:val="34A45DBE"/>
    <w:rsid w:val="34B06CAB"/>
    <w:rsid w:val="34C330B4"/>
    <w:rsid w:val="34C7718F"/>
    <w:rsid w:val="34FD36E3"/>
    <w:rsid w:val="35034D57"/>
    <w:rsid w:val="35070080"/>
    <w:rsid w:val="352513F0"/>
    <w:rsid w:val="35481C4C"/>
    <w:rsid w:val="355A061C"/>
    <w:rsid w:val="358A47F6"/>
    <w:rsid w:val="35A6206D"/>
    <w:rsid w:val="36074A7F"/>
    <w:rsid w:val="36674C84"/>
    <w:rsid w:val="368C1AC1"/>
    <w:rsid w:val="36923549"/>
    <w:rsid w:val="369342FF"/>
    <w:rsid w:val="36A32946"/>
    <w:rsid w:val="36B75FBF"/>
    <w:rsid w:val="36ED6418"/>
    <w:rsid w:val="36FB4891"/>
    <w:rsid w:val="37324EDC"/>
    <w:rsid w:val="37E776C2"/>
    <w:rsid w:val="37EF5A09"/>
    <w:rsid w:val="37FC59C9"/>
    <w:rsid w:val="383C4522"/>
    <w:rsid w:val="38453F85"/>
    <w:rsid w:val="386C0EC1"/>
    <w:rsid w:val="38744170"/>
    <w:rsid w:val="3885411B"/>
    <w:rsid w:val="388F6901"/>
    <w:rsid w:val="389D07D2"/>
    <w:rsid w:val="38A327F3"/>
    <w:rsid w:val="38CD59D5"/>
    <w:rsid w:val="38E52E0C"/>
    <w:rsid w:val="38E928FC"/>
    <w:rsid w:val="38F12CD3"/>
    <w:rsid w:val="38F94775"/>
    <w:rsid w:val="390E0400"/>
    <w:rsid w:val="391C4382"/>
    <w:rsid w:val="391D7A4D"/>
    <w:rsid w:val="392971ED"/>
    <w:rsid w:val="394418E0"/>
    <w:rsid w:val="39890E5F"/>
    <w:rsid w:val="39987E7E"/>
    <w:rsid w:val="3999006F"/>
    <w:rsid w:val="399D3288"/>
    <w:rsid w:val="39CB7802"/>
    <w:rsid w:val="39CE1952"/>
    <w:rsid w:val="39D15749"/>
    <w:rsid w:val="39FE23D7"/>
    <w:rsid w:val="39FF7420"/>
    <w:rsid w:val="3A001EBD"/>
    <w:rsid w:val="3A3D61D7"/>
    <w:rsid w:val="3A4A1B0F"/>
    <w:rsid w:val="3A4A308E"/>
    <w:rsid w:val="3A604FFC"/>
    <w:rsid w:val="3A7D68D2"/>
    <w:rsid w:val="3A8114EC"/>
    <w:rsid w:val="3A980050"/>
    <w:rsid w:val="3AA729FE"/>
    <w:rsid w:val="3ABB3E24"/>
    <w:rsid w:val="3ACB2BEA"/>
    <w:rsid w:val="3ADE3FB6"/>
    <w:rsid w:val="3AFD0FB6"/>
    <w:rsid w:val="3B181276"/>
    <w:rsid w:val="3B1C5E32"/>
    <w:rsid w:val="3B3763D1"/>
    <w:rsid w:val="3B42196B"/>
    <w:rsid w:val="3B4778D6"/>
    <w:rsid w:val="3B4F3237"/>
    <w:rsid w:val="3B68689B"/>
    <w:rsid w:val="3BC24B99"/>
    <w:rsid w:val="3BC5092D"/>
    <w:rsid w:val="3BD60170"/>
    <w:rsid w:val="3BE03FFA"/>
    <w:rsid w:val="3BE3177C"/>
    <w:rsid w:val="3BF811AF"/>
    <w:rsid w:val="3C1B7B8B"/>
    <w:rsid w:val="3C526A0A"/>
    <w:rsid w:val="3C5658F4"/>
    <w:rsid w:val="3C60439F"/>
    <w:rsid w:val="3C7E77FF"/>
    <w:rsid w:val="3C887FB3"/>
    <w:rsid w:val="3C8F7316"/>
    <w:rsid w:val="3C9937B9"/>
    <w:rsid w:val="3C9E6F7F"/>
    <w:rsid w:val="3CDA245A"/>
    <w:rsid w:val="3CEE0A37"/>
    <w:rsid w:val="3D0D7750"/>
    <w:rsid w:val="3D2A6BB4"/>
    <w:rsid w:val="3D4779CC"/>
    <w:rsid w:val="3D50356C"/>
    <w:rsid w:val="3D5C7ECB"/>
    <w:rsid w:val="3D6562C9"/>
    <w:rsid w:val="3D794837"/>
    <w:rsid w:val="3D932E36"/>
    <w:rsid w:val="3DBC7DAE"/>
    <w:rsid w:val="3DD2777B"/>
    <w:rsid w:val="3DE25C15"/>
    <w:rsid w:val="3DE72E1B"/>
    <w:rsid w:val="3DE874B5"/>
    <w:rsid w:val="3DF468DB"/>
    <w:rsid w:val="3E0D4FFF"/>
    <w:rsid w:val="3E215318"/>
    <w:rsid w:val="3E2C59B5"/>
    <w:rsid w:val="3E731CA5"/>
    <w:rsid w:val="3E793BCA"/>
    <w:rsid w:val="3EBA2645"/>
    <w:rsid w:val="3ED044EB"/>
    <w:rsid w:val="3EEF1FC1"/>
    <w:rsid w:val="3F137635"/>
    <w:rsid w:val="3F366F88"/>
    <w:rsid w:val="3F660E74"/>
    <w:rsid w:val="3F8648AE"/>
    <w:rsid w:val="3F8F3AD1"/>
    <w:rsid w:val="3F9F56C3"/>
    <w:rsid w:val="3FA65FE9"/>
    <w:rsid w:val="3FDA0B4B"/>
    <w:rsid w:val="400A488F"/>
    <w:rsid w:val="407A6407"/>
    <w:rsid w:val="40955251"/>
    <w:rsid w:val="409F2E26"/>
    <w:rsid w:val="40A46F52"/>
    <w:rsid w:val="40AF55F5"/>
    <w:rsid w:val="40BF2F4D"/>
    <w:rsid w:val="40DB5C12"/>
    <w:rsid w:val="4100547A"/>
    <w:rsid w:val="41036525"/>
    <w:rsid w:val="410953BA"/>
    <w:rsid w:val="4136056A"/>
    <w:rsid w:val="4137308C"/>
    <w:rsid w:val="417B2ABD"/>
    <w:rsid w:val="417C1E33"/>
    <w:rsid w:val="418B67CB"/>
    <w:rsid w:val="419233F7"/>
    <w:rsid w:val="41B65345"/>
    <w:rsid w:val="41B77BDC"/>
    <w:rsid w:val="42041785"/>
    <w:rsid w:val="420507B2"/>
    <w:rsid w:val="422619BB"/>
    <w:rsid w:val="423A3BCC"/>
    <w:rsid w:val="427C1535"/>
    <w:rsid w:val="428B5BC7"/>
    <w:rsid w:val="428D254A"/>
    <w:rsid w:val="42AB4E70"/>
    <w:rsid w:val="42C817D4"/>
    <w:rsid w:val="43004D9E"/>
    <w:rsid w:val="430A148E"/>
    <w:rsid w:val="430E2DF7"/>
    <w:rsid w:val="432815E6"/>
    <w:rsid w:val="433A6FE6"/>
    <w:rsid w:val="433E0ADE"/>
    <w:rsid w:val="434B5945"/>
    <w:rsid w:val="4350713C"/>
    <w:rsid w:val="435D2DC0"/>
    <w:rsid w:val="436653E0"/>
    <w:rsid w:val="43671369"/>
    <w:rsid w:val="43837BF3"/>
    <w:rsid w:val="43866982"/>
    <w:rsid w:val="43875283"/>
    <w:rsid w:val="438B59B2"/>
    <w:rsid w:val="439335A7"/>
    <w:rsid w:val="43A052AC"/>
    <w:rsid w:val="43CC11BF"/>
    <w:rsid w:val="440525B4"/>
    <w:rsid w:val="442A5B77"/>
    <w:rsid w:val="44536AFD"/>
    <w:rsid w:val="445D5067"/>
    <w:rsid w:val="44670B0B"/>
    <w:rsid w:val="446F00B4"/>
    <w:rsid w:val="44916E51"/>
    <w:rsid w:val="44A14E43"/>
    <w:rsid w:val="44CD14E0"/>
    <w:rsid w:val="44CF6332"/>
    <w:rsid w:val="44DB72E7"/>
    <w:rsid w:val="44E53515"/>
    <w:rsid w:val="44F57952"/>
    <w:rsid w:val="450D7972"/>
    <w:rsid w:val="451670B9"/>
    <w:rsid w:val="45216F7A"/>
    <w:rsid w:val="452B0DF8"/>
    <w:rsid w:val="454F7F8B"/>
    <w:rsid w:val="45520C9A"/>
    <w:rsid w:val="458233FA"/>
    <w:rsid w:val="45864454"/>
    <w:rsid w:val="458946E9"/>
    <w:rsid w:val="458962F0"/>
    <w:rsid w:val="458E4B34"/>
    <w:rsid w:val="45B1657E"/>
    <w:rsid w:val="45B87657"/>
    <w:rsid w:val="45CE46A0"/>
    <w:rsid w:val="45EA3231"/>
    <w:rsid w:val="461D4F3A"/>
    <w:rsid w:val="46397478"/>
    <w:rsid w:val="464C46DD"/>
    <w:rsid w:val="46595450"/>
    <w:rsid w:val="465E6B4E"/>
    <w:rsid w:val="465F5793"/>
    <w:rsid w:val="46885046"/>
    <w:rsid w:val="46B76B4B"/>
    <w:rsid w:val="46BB6321"/>
    <w:rsid w:val="46D955A7"/>
    <w:rsid w:val="46E66F4E"/>
    <w:rsid w:val="46EC34CC"/>
    <w:rsid w:val="47131BFB"/>
    <w:rsid w:val="47133957"/>
    <w:rsid w:val="471E0906"/>
    <w:rsid w:val="474C1710"/>
    <w:rsid w:val="4779329E"/>
    <w:rsid w:val="477C3392"/>
    <w:rsid w:val="477E0BCB"/>
    <w:rsid w:val="478F1C1D"/>
    <w:rsid w:val="47A07E0C"/>
    <w:rsid w:val="481D3484"/>
    <w:rsid w:val="48223458"/>
    <w:rsid w:val="4870272E"/>
    <w:rsid w:val="487A6C15"/>
    <w:rsid w:val="48B3438D"/>
    <w:rsid w:val="48E1155D"/>
    <w:rsid w:val="48FE3DC7"/>
    <w:rsid w:val="49044E25"/>
    <w:rsid w:val="490E1201"/>
    <w:rsid w:val="49290AF3"/>
    <w:rsid w:val="49431385"/>
    <w:rsid w:val="49653FD7"/>
    <w:rsid w:val="49681696"/>
    <w:rsid w:val="49957F36"/>
    <w:rsid w:val="49B06B1E"/>
    <w:rsid w:val="49B95B5E"/>
    <w:rsid w:val="49C957F2"/>
    <w:rsid w:val="49D82FAF"/>
    <w:rsid w:val="49DC7715"/>
    <w:rsid w:val="49E919C0"/>
    <w:rsid w:val="4A007C89"/>
    <w:rsid w:val="4A023139"/>
    <w:rsid w:val="4A142831"/>
    <w:rsid w:val="4A4C115B"/>
    <w:rsid w:val="4A4C153C"/>
    <w:rsid w:val="4A4E6A63"/>
    <w:rsid w:val="4A5622E0"/>
    <w:rsid w:val="4A7B576F"/>
    <w:rsid w:val="4A835FE1"/>
    <w:rsid w:val="4A9A0228"/>
    <w:rsid w:val="4ABA3A4E"/>
    <w:rsid w:val="4AC07C9B"/>
    <w:rsid w:val="4B15412D"/>
    <w:rsid w:val="4B196D89"/>
    <w:rsid w:val="4B267239"/>
    <w:rsid w:val="4B3F43CB"/>
    <w:rsid w:val="4B4A3340"/>
    <w:rsid w:val="4B746DBF"/>
    <w:rsid w:val="4BDB1F52"/>
    <w:rsid w:val="4BFF5B3B"/>
    <w:rsid w:val="4C0C2771"/>
    <w:rsid w:val="4C1C10C0"/>
    <w:rsid w:val="4C4A0649"/>
    <w:rsid w:val="4C6836E0"/>
    <w:rsid w:val="4C7B19CB"/>
    <w:rsid w:val="4C9170DB"/>
    <w:rsid w:val="4C985EF0"/>
    <w:rsid w:val="4CC04EA3"/>
    <w:rsid w:val="4CC27BCF"/>
    <w:rsid w:val="4CE470D3"/>
    <w:rsid w:val="4D183358"/>
    <w:rsid w:val="4D26720B"/>
    <w:rsid w:val="4D597930"/>
    <w:rsid w:val="4D7D093A"/>
    <w:rsid w:val="4D807BBD"/>
    <w:rsid w:val="4D8E2AB6"/>
    <w:rsid w:val="4D9C2CED"/>
    <w:rsid w:val="4DAC7CC4"/>
    <w:rsid w:val="4DD23507"/>
    <w:rsid w:val="4DE90B47"/>
    <w:rsid w:val="4DEC4FB0"/>
    <w:rsid w:val="4DF23BA9"/>
    <w:rsid w:val="4DF51004"/>
    <w:rsid w:val="4E017E63"/>
    <w:rsid w:val="4E0631B0"/>
    <w:rsid w:val="4E075D8A"/>
    <w:rsid w:val="4E141EF3"/>
    <w:rsid w:val="4E1F15CD"/>
    <w:rsid w:val="4E264657"/>
    <w:rsid w:val="4E2D3F3A"/>
    <w:rsid w:val="4E336024"/>
    <w:rsid w:val="4E3C6BD2"/>
    <w:rsid w:val="4E496301"/>
    <w:rsid w:val="4E5C46C4"/>
    <w:rsid w:val="4E6D7C15"/>
    <w:rsid w:val="4EA7301B"/>
    <w:rsid w:val="4ED05597"/>
    <w:rsid w:val="4F021BCA"/>
    <w:rsid w:val="4F326275"/>
    <w:rsid w:val="4F3373F9"/>
    <w:rsid w:val="4F8E22FA"/>
    <w:rsid w:val="4F9B1486"/>
    <w:rsid w:val="4FA357C5"/>
    <w:rsid w:val="4FAD4CC8"/>
    <w:rsid w:val="4FB21AC4"/>
    <w:rsid w:val="4FC62A8C"/>
    <w:rsid w:val="4FE20F0D"/>
    <w:rsid w:val="502B2C21"/>
    <w:rsid w:val="5043249A"/>
    <w:rsid w:val="50504C4B"/>
    <w:rsid w:val="50792A38"/>
    <w:rsid w:val="509C6E7C"/>
    <w:rsid w:val="50A342E5"/>
    <w:rsid w:val="50B70CC1"/>
    <w:rsid w:val="50CD2C2F"/>
    <w:rsid w:val="50E21CB3"/>
    <w:rsid w:val="50F73284"/>
    <w:rsid w:val="51006A4C"/>
    <w:rsid w:val="511D4DBE"/>
    <w:rsid w:val="51404C2B"/>
    <w:rsid w:val="515800B6"/>
    <w:rsid w:val="5162104E"/>
    <w:rsid w:val="517D39E6"/>
    <w:rsid w:val="51814A4D"/>
    <w:rsid w:val="51A35899"/>
    <w:rsid w:val="51CB31C8"/>
    <w:rsid w:val="521A547C"/>
    <w:rsid w:val="525E337B"/>
    <w:rsid w:val="529169C4"/>
    <w:rsid w:val="52F12FC9"/>
    <w:rsid w:val="530E1339"/>
    <w:rsid w:val="531406A5"/>
    <w:rsid w:val="532074C5"/>
    <w:rsid w:val="535B176B"/>
    <w:rsid w:val="53733096"/>
    <w:rsid w:val="538974B5"/>
    <w:rsid w:val="538B6CC9"/>
    <w:rsid w:val="53924CA9"/>
    <w:rsid w:val="539D5FD3"/>
    <w:rsid w:val="53A039CC"/>
    <w:rsid w:val="53A1505A"/>
    <w:rsid w:val="53A92408"/>
    <w:rsid w:val="53B10000"/>
    <w:rsid w:val="53D44FAF"/>
    <w:rsid w:val="53F422C9"/>
    <w:rsid w:val="54063E08"/>
    <w:rsid w:val="543437E8"/>
    <w:rsid w:val="54764F44"/>
    <w:rsid w:val="547C559D"/>
    <w:rsid w:val="54AC3AA6"/>
    <w:rsid w:val="54C55B73"/>
    <w:rsid w:val="54C8268A"/>
    <w:rsid w:val="54E20909"/>
    <w:rsid w:val="54F04DBD"/>
    <w:rsid w:val="54FF095A"/>
    <w:rsid w:val="550876C8"/>
    <w:rsid w:val="551115CA"/>
    <w:rsid w:val="553A09D6"/>
    <w:rsid w:val="55650480"/>
    <w:rsid w:val="55665D0A"/>
    <w:rsid w:val="559B174B"/>
    <w:rsid w:val="55A61E58"/>
    <w:rsid w:val="55B81CF5"/>
    <w:rsid w:val="55BE2F2A"/>
    <w:rsid w:val="55CB29CD"/>
    <w:rsid w:val="55CE0CF4"/>
    <w:rsid w:val="55E72D6A"/>
    <w:rsid w:val="55E8268C"/>
    <w:rsid w:val="55FD3049"/>
    <w:rsid w:val="564B3E56"/>
    <w:rsid w:val="56616D4A"/>
    <w:rsid w:val="56723AD9"/>
    <w:rsid w:val="568455BA"/>
    <w:rsid w:val="569A6058"/>
    <w:rsid w:val="569F0646"/>
    <w:rsid w:val="56A31EE4"/>
    <w:rsid w:val="56B22A9C"/>
    <w:rsid w:val="56CD6F61"/>
    <w:rsid w:val="570D55B0"/>
    <w:rsid w:val="57120E18"/>
    <w:rsid w:val="571C5DB6"/>
    <w:rsid w:val="57553BF2"/>
    <w:rsid w:val="578909D1"/>
    <w:rsid w:val="57895A6F"/>
    <w:rsid w:val="578C6E7E"/>
    <w:rsid w:val="57AC7DDB"/>
    <w:rsid w:val="57B4351F"/>
    <w:rsid w:val="57B72A76"/>
    <w:rsid w:val="57C57C38"/>
    <w:rsid w:val="57CF6D09"/>
    <w:rsid w:val="57DF0482"/>
    <w:rsid w:val="57E670C0"/>
    <w:rsid w:val="5823069C"/>
    <w:rsid w:val="582A5B35"/>
    <w:rsid w:val="5831588C"/>
    <w:rsid w:val="58322F16"/>
    <w:rsid w:val="58357D5F"/>
    <w:rsid w:val="584E13F5"/>
    <w:rsid w:val="585819DA"/>
    <w:rsid w:val="585B5566"/>
    <w:rsid w:val="585C5F4B"/>
    <w:rsid w:val="585C67EF"/>
    <w:rsid w:val="58816255"/>
    <w:rsid w:val="58AE1F5E"/>
    <w:rsid w:val="58C05288"/>
    <w:rsid w:val="590B103A"/>
    <w:rsid w:val="593B4ABC"/>
    <w:rsid w:val="594B039A"/>
    <w:rsid w:val="595A1160"/>
    <w:rsid w:val="59A07E2E"/>
    <w:rsid w:val="59DB1C2C"/>
    <w:rsid w:val="59EA1396"/>
    <w:rsid w:val="5A22698C"/>
    <w:rsid w:val="5A3C747D"/>
    <w:rsid w:val="5A4E6ED3"/>
    <w:rsid w:val="5A706348"/>
    <w:rsid w:val="5A826429"/>
    <w:rsid w:val="5A92474A"/>
    <w:rsid w:val="5AA224B3"/>
    <w:rsid w:val="5AB55249"/>
    <w:rsid w:val="5ABE2233"/>
    <w:rsid w:val="5B1C04B7"/>
    <w:rsid w:val="5B276D18"/>
    <w:rsid w:val="5B4D59F8"/>
    <w:rsid w:val="5B6921A5"/>
    <w:rsid w:val="5B6A2B63"/>
    <w:rsid w:val="5B9D23B3"/>
    <w:rsid w:val="5BB7764E"/>
    <w:rsid w:val="5BBD526B"/>
    <w:rsid w:val="5BDF5D95"/>
    <w:rsid w:val="5BED7025"/>
    <w:rsid w:val="5C003E1F"/>
    <w:rsid w:val="5C2C472A"/>
    <w:rsid w:val="5C2F27B0"/>
    <w:rsid w:val="5C4E0BD3"/>
    <w:rsid w:val="5C5678DA"/>
    <w:rsid w:val="5C6739B4"/>
    <w:rsid w:val="5CBE0A42"/>
    <w:rsid w:val="5CDC7D97"/>
    <w:rsid w:val="5D2A6BF5"/>
    <w:rsid w:val="5D4622D5"/>
    <w:rsid w:val="5D5C2DED"/>
    <w:rsid w:val="5D701CF5"/>
    <w:rsid w:val="5D8445A6"/>
    <w:rsid w:val="5D914ABB"/>
    <w:rsid w:val="5D9400D6"/>
    <w:rsid w:val="5D9B1B67"/>
    <w:rsid w:val="5D9E6F62"/>
    <w:rsid w:val="5DBA42CC"/>
    <w:rsid w:val="5DEB0BA6"/>
    <w:rsid w:val="5DF87A0F"/>
    <w:rsid w:val="5E296C3F"/>
    <w:rsid w:val="5E453881"/>
    <w:rsid w:val="5E6463FD"/>
    <w:rsid w:val="5E8127B9"/>
    <w:rsid w:val="5E9D4F37"/>
    <w:rsid w:val="5EA9579A"/>
    <w:rsid w:val="5EB82366"/>
    <w:rsid w:val="5ECC7C19"/>
    <w:rsid w:val="5EDE5D54"/>
    <w:rsid w:val="5EFD3D6D"/>
    <w:rsid w:val="5F1A2B43"/>
    <w:rsid w:val="5F272343"/>
    <w:rsid w:val="5F41229A"/>
    <w:rsid w:val="5F54797E"/>
    <w:rsid w:val="5FB837BB"/>
    <w:rsid w:val="604B08BD"/>
    <w:rsid w:val="6071095D"/>
    <w:rsid w:val="60B879C7"/>
    <w:rsid w:val="60B90BF4"/>
    <w:rsid w:val="60BD7BA0"/>
    <w:rsid w:val="60C20AC8"/>
    <w:rsid w:val="60D3295B"/>
    <w:rsid w:val="60FB0B6F"/>
    <w:rsid w:val="611A15B8"/>
    <w:rsid w:val="61265BEC"/>
    <w:rsid w:val="612D3FE4"/>
    <w:rsid w:val="612F56D9"/>
    <w:rsid w:val="61300A69"/>
    <w:rsid w:val="61D25580"/>
    <w:rsid w:val="61F730E4"/>
    <w:rsid w:val="62042E14"/>
    <w:rsid w:val="62144337"/>
    <w:rsid w:val="622C2F1B"/>
    <w:rsid w:val="62302907"/>
    <w:rsid w:val="6236245E"/>
    <w:rsid w:val="62364782"/>
    <w:rsid w:val="62684EC1"/>
    <w:rsid w:val="62705956"/>
    <w:rsid w:val="629C49CA"/>
    <w:rsid w:val="62B50823"/>
    <w:rsid w:val="62B673BC"/>
    <w:rsid w:val="62F53B0F"/>
    <w:rsid w:val="63141D6C"/>
    <w:rsid w:val="63533FB2"/>
    <w:rsid w:val="63615A4F"/>
    <w:rsid w:val="6370114B"/>
    <w:rsid w:val="63C65464"/>
    <w:rsid w:val="63D40BE9"/>
    <w:rsid w:val="63D570B9"/>
    <w:rsid w:val="63DC3873"/>
    <w:rsid w:val="63E0211F"/>
    <w:rsid w:val="63E530C9"/>
    <w:rsid w:val="641A130C"/>
    <w:rsid w:val="64381F8A"/>
    <w:rsid w:val="64777A60"/>
    <w:rsid w:val="649B1030"/>
    <w:rsid w:val="64A75AB9"/>
    <w:rsid w:val="64C22AF0"/>
    <w:rsid w:val="64DC6FDB"/>
    <w:rsid w:val="64E425A8"/>
    <w:rsid w:val="64FB189E"/>
    <w:rsid w:val="65373578"/>
    <w:rsid w:val="653C0107"/>
    <w:rsid w:val="654F0987"/>
    <w:rsid w:val="655811BD"/>
    <w:rsid w:val="65774674"/>
    <w:rsid w:val="65B66CC0"/>
    <w:rsid w:val="65D247E6"/>
    <w:rsid w:val="65F362B8"/>
    <w:rsid w:val="66037F87"/>
    <w:rsid w:val="663E29C7"/>
    <w:rsid w:val="665A6519"/>
    <w:rsid w:val="667165ED"/>
    <w:rsid w:val="66742F55"/>
    <w:rsid w:val="667D11B5"/>
    <w:rsid w:val="66867EFD"/>
    <w:rsid w:val="66874B29"/>
    <w:rsid w:val="6692037C"/>
    <w:rsid w:val="669E7FD2"/>
    <w:rsid w:val="66B25032"/>
    <w:rsid w:val="66DF7EE4"/>
    <w:rsid w:val="66EC32A2"/>
    <w:rsid w:val="66FA7186"/>
    <w:rsid w:val="673F2C7A"/>
    <w:rsid w:val="674A63AC"/>
    <w:rsid w:val="674D4F34"/>
    <w:rsid w:val="6758125A"/>
    <w:rsid w:val="67A400BF"/>
    <w:rsid w:val="67D55C76"/>
    <w:rsid w:val="67F3390B"/>
    <w:rsid w:val="67FC1750"/>
    <w:rsid w:val="67FC45BC"/>
    <w:rsid w:val="681B17A0"/>
    <w:rsid w:val="681F6961"/>
    <w:rsid w:val="68447E77"/>
    <w:rsid w:val="68610A2F"/>
    <w:rsid w:val="68637671"/>
    <w:rsid w:val="686764B2"/>
    <w:rsid w:val="686C6B7B"/>
    <w:rsid w:val="68805514"/>
    <w:rsid w:val="68807CBD"/>
    <w:rsid w:val="68816252"/>
    <w:rsid w:val="68997A63"/>
    <w:rsid w:val="68A31DE8"/>
    <w:rsid w:val="68C267A1"/>
    <w:rsid w:val="68DB4B4A"/>
    <w:rsid w:val="68DE5482"/>
    <w:rsid w:val="68F06945"/>
    <w:rsid w:val="68F61A5C"/>
    <w:rsid w:val="69004825"/>
    <w:rsid w:val="693A61D6"/>
    <w:rsid w:val="694E2071"/>
    <w:rsid w:val="696B0EBC"/>
    <w:rsid w:val="697A3B33"/>
    <w:rsid w:val="697E4A43"/>
    <w:rsid w:val="699C048B"/>
    <w:rsid w:val="699E2456"/>
    <w:rsid w:val="69A46042"/>
    <w:rsid w:val="69AB7C67"/>
    <w:rsid w:val="69B45362"/>
    <w:rsid w:val="69B83AA1"/>
    <w:rsid w:val="69BC4B48"/>
    <w:rsid w:val="69BC5E2E"/>
    <w:rsid w:val="6A41142C"/>
    <w:rsid w:val="6A4E24B4"/>
    <w:rsid w:val="6A502AF1"/>
    <w:rsid w:val="6A770B4B"/>
    <w:rsid w:val="6A7E68BC"/>
    <w:rsid w:val="6AC86B48"/>
    <w:rsid w:val="6ADC556D"/>
    <w:rsid w:val="6B182A49"/>
    <w:rsid w:val="6B1C3B6E"/>
    <w:rsid w:val="6B3115E4"/>
    <w:rsid w:val="6B322639"/>
    <w:rsid w:val="6B65166A"/>
    <w:rsid w:val="6B6556C9"/>
    <w:rsid w:val="6B671990"/>
    <w:rsid w:val="6C167172"/>
    <w:rsid w:val="6C213164"/>
    <w:rsid w:val="6C2403B7"/>
    <w:rsid w:val="6C3171FA"/>
    <w:rsid w:val="6C32019A"/>
    <w:rsid w:val="6C4B0B5A"/>
    <w:rsid w:val="6C5850C7"/>
    <w:rsid w:val="6C636C38"/>
    <w:rsid w:val="6C711BFB"/>
    <w:rsid w:val="6C8C7C7D"/>
    <w:rsid w:val="6CE215E7"/>
    <w:rsid w:val="6CFE304F"/>
    <w:rsid w:val="6D037814"/>
    <w:rsid w:val="6D454944"/>
    <w:rsid w:val="6D546C6B"/>
    <w:rsid w:val="6D627FC2"/>
    <w:rsid w:val="6D692EDC"/>
    <w:rsid w:val="6D8728E6"/>
    <w:rsid w:val="6DA371F7"/>
    <w:rsid w:val="6DB34098"/>
    <w:rsid w:val="6DB545B6"/>
    <w:rsid w:val="6DC41C0E"/>
    <w:rsid w:val="6DE5337D"/>
    <w:rsid w:val="6E0139A1"/>
    <w:rsid w:val="6E1D2124"/>
    <w:rsid w:val="6E1F5FB6"/>
    <w:rsid w:val="6E4375A0"/>
    <w:rsid w:val="6E514CED"/>
    <w:rsid w:val="6E79491A"/>
    <w:rsid w:val="6E81539D"/>
    <w:rsid w:val="6E9772F9"/>
    <w:rsid w:val="6EA6211A"/>
    <w:rsid w:val="6EB563D5"/>
    <w:rsid w:val="6EB60DF0"/>
    <w:rsid w:val="6F1654F2"/>
    <w:rsid w:val="6F1F049C"/>
    <w:rsid w:val="6F1F3D69"/>
    <w:rsid w:val="6F225983"/>
    <w:rsid w:val="6FD42CB7"/>
    <w:rsid w:val="6FEB7961"/>
    <w:rsid w:val="6FF17922"/>
    <w:rsid w:val="6FFA4724"/>
    <w:rsid w:val="6FFC5590"/>
    <w:rsid w:val="6FFE0436"/>
    <w:rsid w:val="70010574"/>
    <w:rsid w:val="70301DA3"/>
    <w:rsid w:val="703D085C"/>
    <w:rsid w:val="706D1DD0"/>
    <w:rsid w:val="707C1E2A"/>
    <w:rsid w:val="70856B87"/>
    <w:rsid w:val="70943811"/>
    <w:rsid w:val="709C10B7"/>
    <w:rsid w:val="70C44AD9"/>
    <w:rsid w:val="70D527EE"/>
    <w:rsid w:val="71016CD1"/>
    <w:rsid w:val="7107567E"/>
    <w:rsid w:val="710C022E"/>
    <w:rsid w:val="711B1D67"/>
    <w:rsid w:val="71387106"/>
    <w:rsid w:val="71387C24"/>
    <w:rsid w:val="71415CDC"/>
    <w:rsid w:val="715B5300"/>
    <w:rsid w:val="715E3530"/>
    <w:rsid w:val="715F4BD7"/>
    <w:rsid w:val="7172737E"/>
    <w:rsid w:val="71D21478"/>
    <w:rsid w:val="71D27F8A"/>
    <w:rsid w:val="71EE61B5"/>
    <w:rsid w:val="71F744C6"/>
    <w:rsid w:val="71F960CF"/>
    <w:rsid w:val="7208723E"/>
    <w:rsid w:val="721970A7"/>
    <w:rsid w:val="726227FC"/>
    <w:rsid w:val="72916C3D"/>
    <w:rsid w:val="729A7288"/>
    <w:rsid w:val="731F5D5E"/>
    <w:rsid w:val="732C5327"/>
    <w:rsid w:val="7335505D"/>
    <w:rsid w:val="734E4D8F"/>
    <w:rsid w:val="73592A5F"/>
    <w:rsid w:val="735E451A"/>
    <w:rsid w:val="739D1D55"/>
    <w:rsid w:val="73C80D84"/>
    <w:rsid w:val="73FF795C"/>
    <w:rsid w:val="7412424B"/>
    <w:rsid w:val="741E793C"/>
    <w:rsid w:val="742B3440"/>
    <w:rsid w:val="74452F75"/>
    <w:rsid w:val="74C7103C"/>
    <w:rsid w:val="74F11C15"/>
    <w:rsid w:val="752245AB"/>
    <w:rsid w:val="75341BC6"/>
    <w:rsid w:val="754F4202"/>
    <w:rsid w:val="755D1A11"/>
    <w:rsid w:val="757600A2"/>
    <w:rsid w:val="757C3BD5"/>
    <w:rsid w:val="758D75E2"/>
    <w:rsid w:val="759D21DD"/>
    <w:rsid w:val="75A062DC"/>
    <w:rsid w:val="75AE5B2E"/>
    <w:rsid w:val="75D86394"/>
    <w:rsid w:val="75EA61EC"/>
    <w:rsid w:val="762A53DF"/>
    <w:rsid w:val="765450E5"/>
    <w:rsid w:val="765B32A8"/>
    <w:rsid w:val="76764AC8"/>
    <w:rsid w:val="76785053"/>
    <w:rsid w:val="76A71209"/>
    <w:rsid w:val="76BD19FC"/>
    <w:rsid w:val="76CE19F9"/>
    <w:rsid w:val="774F3949"/>
    <w:rsid w:val="77575C35"/>
    <w:rsid w:val="775C3CBE"/>
    <w:rsid w:val="77762421"/>
    <w:rsid w:val="77903ED1"/>
    <w:rsid w:val="77907953"/>
    <w:rsid w:val="77B2095C"/>
    <w:rsid w:val="77C35AEB"/>
    <w:rsid w:val="77D61BF0"/>
    <w:rsid w:val="77DA69AC"/>
    <w:rsid w:val="77F201C1"/>
    <w:rsid w:val="780F09F4"/>
    <w:rsid w:val="780F595E"/>
    <w:rsid w:val="783B4D3C"/>
    <w:rsid w:val="7872665C"/>
    <w:rsid w:val="78857734"/>
    <w:rsid w:val="788C2AC7"/>
    <w:rsid w:val="789C4DDD"/>
    <w:rsid w:val="789C4F47"/>
    <w:rsid w:val="78A90480"/>
    <w:rsid w:val="78A96722"/>
    <w:rsid w:val="78CA2EA9"/>
    <w:rsid w:val="78CA4586"/>
    <w:rsid w:val="78F30C09"/>
    <w:rsid w:val="791D730D"/>
    <w:rsid w:val="79501B96"/>
    <w:rsid w:val="795A422D"/>
    <w:rsid w:val="795B413A"/>
    <w:rsid w:val="796779E6"/>
    <w:rsid w:val="79811327"/>
    <w:rsid w:val="79A77710"/>
    <w:rsid w:val="79BD255D"/>
    <w:rsid w:val="79D049DB"/>
    <w:rsid w:val="79D81DFB"/>
    <w:rsid w:val="79FD028E"/>
    <w:rsid w:val="79FE105C"/>
    <w:rsid w:val="79FF3FFE"/>
    <w:rsid w:val="7A275138"/>
    <w:rsid w:val="7A350737"/>
    <w:rsid w:val="7A364017"/>
    <w:rsid w:val="7A552C46"/>
    <w:rsid w:val="7A5A50FB"/>
    <w:rsid w:val="7A684727"/>
    <w:rsid w:val="7A7514E8"/>
    <w:rsid w:val="7A821B06"/>
    <w:rsid w:val="7A8265E1"/>
    <w:rsid w:val="7A965738"/>
    <w:rsid w:val="7AC42C94"/>
    <w:rsid w:val="7ACA4480"/>
    <w:rsid w:val="7AE32BB5"/>
    <w:rsid w:val="7AEF1A67"/>
    <w:rsid w:val="7B122A2F"/>
    <w:rsid w:val="7B2C1E26"/>
    <w:rsid w:val="7B686D42"/>
    <w:rsid w:val="7B6F3686"/>
    <w:rsid w:val="7B70027B"/>
    <w:rsid w:val="7B7B7193"/>
    <w:rsid w:val="7B841746"/>
    <w:rsid w:val="7B8F64E2"/>
    <w:rsid w:val="7B971737"/>
    <w:rsid w:val="7BA447AB"/>
    <w:rsid w:val="7BDA540C"/>
    <w:rsid w:val="7C0E4047"/>
    <w:rsid w:val="7C290647"/>
    <w:rsid w:val="7C3F68AA"/>
    <w:rsid w:val="7C5B649E"/>
    <w:rsid w:val="7C5E1C8C"/>
    <w:rsid w:val="7C971F93"/>
    <w:rsid w:val="7CA02200"/>
    <w:rsid w:val="7CA05178"/>
    <w:rsid w:val="7CF660C7"/>
    <w:rsid w:val="7D0239FF"/>
    <w:rsid w:val="7D4312E1"/>
    <w:rsid w:val="7D5E40CD"/>
    <w:rsid w:val="7D693BED"/>
    <w:rsid w:val="7D6F586D"/>
    <w:rsid w:val="7D7F32CC"/>
    <w:rsid w:val="7DA01FE8"/>
    <w:rsid w:val="7DA02688"/>
    <w:rsid w:val="7DCE343B"/>
    <w:rsid w:val="7DE44F40"/>
    <w:rsid w:val="7E0D0B43"/>
    <w:rsid w:val="7E144473"/>
    <w:rsid w:val="7E255C29"/>
    <w:rsid w:val="7E5C5697"/>
    <w:rsid w:val="7E7A0ECD"/>
    <w:rsid w:val="7E90249F"/>
    <w:rsid w:val="7E9F0EA8"/>
    <w:rsid w:val="7EAE640D"/>
    <w:rsid w:val="7EC16AFC"/>
    <w:rsid w:val="7EC35E5A"/>
    <w:rsid w:val="7EC5644B"/>
    <w:rsid w:val="7EEE2011"/>
    <w:rsid w:val="7F676382"/>
    <w:rsid w:val="7F737DF6"/>
    <w:rsid w:val="7F88755C"/>
    <w:rsid w:val="7FCD18F0"/>
    <w:rsid w:val="7FE47E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ocked="1"/>
    <w:lsdException w:qFormat="1" w:uiPriority="0" w:semiHidden="0" w:name="heading 3" w:locked="1"/>
    <w:lsdException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99"/>
    <w:pPr>
      <w:keepNext/>
      <w:keepLines/>
      <w:spacing w:line="720" w:lineRule="exact"/>
      <w:outlineLvl w:val="1"/>
    </w:pPr>
    <w:rPr>
      <w:b/>
      <w:kern w:val="0"/>
      <w:sz w:val="32"/>
      <w:szCs w:val="20"/>
    </w:rPr>
  </w:style>
  <w:style w:type="paragraph" w:styleId="5">
    <w:name w:val="heading 3"/>
    <w:basedOn w:val="1"/>
    <w:next w:val="1"/>
    <w:unhideWhenUsed/>
    <w:qFormat/>
    <w:locked/>
    <w:uiPriority w:val="0"/>
    <w:pPr>
      <w:keepNext/>
      <w:keepLines/>
      <w:spacing w:before="260" w:after="260" w:line="416" w:lineRule="auto"/>
      <w:outlineLvl w:val="2"/>
    </w:pPr>
    <w:rPr>
      <w:b/>
      <w:bCs/>
      <w:sz w:val="32"/>
      <w:szCs w:val="32"/>
    </w:rPr>
  </w:style>
  <w:style w:type="character" w:default="1" w:styleId="24">
    <w:name w:val="Default Paragraph Font"/>
    <w:semiHidden/>
    <w:qFormat/>
    <w:uiPriority w:val="0"/>
  </w:style>
  <w:style w:type="table" w:default="1" w:styleId="2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0"/>
    </w:rPr>
  </w:style>
  <w:style w:type="paragraph" w:styleId="6">
    <w:name w:val="List 3"/>
    <w:basedOn w:val="1"/>
    <w:next w:val="1"/>
    <w:qFormat/>
    <w:uiPriority w:val="0"/>
    <w:pPr>
      <w:tabs>
        <w:tab w:val="left" w:pos="480"/>
      </w:tabs>
      <w:ind w:left="100" w:leftChars="400" w:hanging="200" w:hangingChars="200"/>
    </w:pPr>
  </w:style>
  <w:style w:type="paragraph" w:styleId="7">
    <w:name w:val="List Number"/>
    <w:basedOn w:val="1"/>
    <w:qFormat/>
    <w:uiPriority w:val="0"/>
    <w:pPr>
      <w:numPr>
        <w:ilvl w:val="0"/>
        <w:numId w:val="1"/>
      </w:numPr>
    </w:pPr>
  </w:style>
  <w:style w:type="paragraph" w:styleId="8">
    <w:name w:val="caption"/>
    <w:basedOn w:val="1"/>
    <w:next w:val="1"/>
    <w:qFormat/>
    <w:locked/>
    <w:uiPriority w:val="99"/>
    <w:pPr>
      <w:numPr>
        <w:ilvl w:val="0"/>
        <w:numId w:val="2"/>
      </w:numPr>
      <w:ind w:left="0" w:firstLine="0"/>
      <w:jc w:val="center"/>
    </w:pPr>
    <w:rPr>
      <w:b/>
      <w:color w:val="000000"/>
      <w:sz w:val="24"/>
    </w:rPr>
  </w:style>
  <w:style w:type="paragraph" w:styleId="9">
    <w:name w:val="annotation text"/>
    <w:basedOn w:val="1"/>
    <w:link w:val="27"/>
    <w:semiHidden/>
    <w:qFormat/>
    <w:uiPriority w:val="0"/>
    <w:pPr>
      <w:jc w:val="left"/>
    </w:pPr>
    <w:rPr>
      <w:kern w:val="0"/>
      <w:sz w:val="20"/>
    </w:rPr>
  </w:style>
  <w:style w:type="paragraph" w:styleId="10">
    <w:name w:val="Body Text"/>
    <w:basedOn w:val="1"/>
    <w:next w:val="1"/>
    <w:link w:val="28"/>
    <w:qFormat/>
    <w:uiPriority w:val="0"/>
    <w:pPr>
      <w:widowControl/>
      <w:snapToGrid w:val="0"/>
      <w:spacing w:before="60" w:after="160" w:line="259" w:lineRule="auto"/>
      <w:ind w:right="113"/>
    </w:pPr>
    <w:rPr>
      <w:kern w:val="0"/>
      <w:sz w:val="18"/>
      <w:szCs w:val="18"/>
    </w:rPr>
  </w:style>
  <w:style w:type="paragraph" w:styleId="11">
    <w:name w:val="Body Text Indent"/>
    <w:basedOn w:val="1"/>
    <w:next w:val="1"/>
    <w:link w:val="29"/>
    <w:semiHidden/>
    <w:qFormat/>
    <w:uiPriority w:val="0"/>
    <w:pPr>
      <w:spacing w:after="120"/>
      <w:ind w:left="420" w:leftChars="200"/>
    </w:pPr>
  </w:style>
  <w:style w:type="paragraph" w:styleId="12">
    <w:name w:val="Plain Text"/>
    <w:basedOn w:val="1"/>
    <w:next w:val="13"/>
    <w:qFormat/>
    <w:uiPriority w:val="0"/>
    <w:pPr>
      <w:ind w:firstLine="0"/>
    </w:pPr>
    <w:rPr>
      <w:rFonts w:ascii="宋体" w:hAnsi="Courier New"/>
      <w:sz w:val="21"/>
    </w:rPr>
  </w:style>
  <w:style w:type="paragraph" w:styleId="13">
    <w:name w:val="toc 1"/>
    <w:basedOn w:val="1"/>
    <w:next w:val="1"/>
    <w:qFormat/>
    <w:locked/>
    <w:uiPriority w:val="0"/>
  </w:style>
  <w:style w:type="paragraph" w:styleId="14">
    <w:name w:val="Date"/>
    <w:basedOn w:val="1"/>
    <w:next w:val="1"/>
    <w:link w:val="30"/>
    <w:qFormat/>
    <w:uiPriority w:val="0"/>
    <w:pPr>
      <w:ind w:left="100" w:leftChars="2500"/>
    </w:pPr>
    <w:rPr>
      <w:kern w:val="0"/>
      <w:sz w:val="20"/>
    </w:rPr>
  </w:style>
  <w:style w:type="paragraph" w:styleId="15">
    <w:name w:val="Balloon Text"/>
    <w:basedOn w:val="1"/>
    <w:link w:val="31"/>
    <w:semiHidden/>
    <w:qFormat/>
    <w:uiPriority w:val="0"/>
    <w:rPr>
      <w:sz w:val="18"/>
      <w:szCs w:val="18"/>
    </w:rPr>
  </w:style>
  <w:style w:type="paragraph" w:styleId="16">
    <w:name w:val="footer"/>
    <w:basedOn w:val="1"/>
    <w:link w:val="32"/>
    <w:qFormat/>
    <w:uiPriority w:val="0"/>
    <w:pPr>
      <w:tabs>
        <w:tab w:val="center" w:pos="4153"/>
        <w:tab w:val="right" w:pos="8306"/>
      </w:tabs>
      <w:snapToGrid w:val="0"/>
      <w:jc w:val="left"/>
    </w:pPr>
    <w:rPr>
      <w:sz w:val="18"/>
      <w:szCs w:val="18"/>
    </w:rPr>
  </w:style>
  <w:style w:type="paragraph" w:styleId="17">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8">
    <w:name w:val="toc 2"/>
    <w:basedOn w:val="1"/>
    <w:next w:val="1"/>
    <w:unhideWhenUsed/>
    <w:qFormat/>
    <w:locked/>
    <w:uiPriority w:val="39"/>
    <w:pPr>
      <w:tabs>
        <w:tab w:val="left" w:pos="1260"/>
        <w:tab w:val="right" w:leader="dot" w:pos="8630"/>
      </w:tabs>
      <w:ind w:left="420" w:leftChars="200" w:right="-338" w:rightChars="-161"/>
    </w:pPr>
  </w:style>
  <w:style w:type="paragraph" w:styleId="19">
    <w:name w:val="Normal (Web)"/>
    <w:basedOn w:val="1"/>
    <w:link w:val="34"/>
    <w:qFormat/>
    <w:uiPriority w:val="0"/>
    <w:pPr>
      <w:widowControl/>
      <w:spacing w:before="100" w:beforeAutospacing="1" w:after="100" w:afterAutospacing="1"/>
      <w:jc w:val="left"/>
    </w:pPr>
    <w:rPr>
      <w:rFonts w:ascii="宋体" w:hAnsi="宋体"/>
      <w:kern w:val="0"/>
      <w:sz w:val="24"/>
    </w:rPr>
  </w:style>
  <w:style w:type="paragraph" w:styleId="20">
    <w:name w:val="annotation subject"/>
    <w:basedOn w:val="9"/>
    <w:next w:val="9"/>
    <w:link w:val="35"/>
    <w:semiHidden/>
    <w:qFormat/>
    <w:uiPriority w:val="0"/>
    <w:rPr>
      <w:b/>
      <w:bCs/>
    </w:rPr>
  </w:style>
  <w:style w:type="paragraph" w:styleId="21">
    <w:name w:val="Body Text First Indent 2"/>
    <w:basedOn w:val="11"/>
    <w:qFormat/>
    <w:uiPriority w:val="0"/>
    <w:pPr>
      <w:ind w:firstLine="420" w:firstLineChars="200"/>
    </w:pPr>
    <w:rPr>
      <w:kern w:val="2"/>
      <w:sz w:val="21"/>
    </w:rPr>
  </w:style>
  <w:style w:type="table" w:styleId="23">
    <w:name w:val="Table Grid"/>
    <w:basedOn w:val="2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annotation reference"/>
    <w:basedOn w:val="24"/>
    <w:semiHidden/>
    <w:qFormat/>
    <w:uiPriority w:val="0"/>
    <w:rPr>
      <w:sz w:val="21"/>
    </w:rPr>
  </w:style>
  <w:style w:type="character" w:customStyle="1" w:styleId="27">
    <w:name w:val="Comment Text Char"/>
    <w:link w:val="9"/>
    <w:qFormat/>
    <w:locked/>
    <w:uiPriority w:val="0"/>
    <w:rPr>
      <w:rFonts w:ascii="Times New Roman" w:hAnsi="Times New Roman" w:eastAsia="宋体"/>
      <w:sz w:val="24"/>
    </w:rPr>
  </w:style>
  <w:style w:type="character" w:customStyle="1" w:styleId="28">
    <w:name w:val="Body Text Char"/>
    <w:link w:val="10"/>
    <w:qFormat/>
    <w:locked/>
    <w:uiPriority w:val="0"/>
    <w:rPr>
      <w:sz w:val="18"/>
    </w:rPr>
  </w:style>
  <w:style w:type="character" w:customStyle="1" w:styleId="29">
    <w:name w:val="Body Text Indent Char"/>
    <w:basedOn w:val="24"/>
    <w:link w:val="11"/>
    <w:semiHidden/>
    <w:qFormat/>
    <w:locked/>
    <w:uiPriority w:val="0"/>
    <w:rPr>
      <w:rFonts w:ascii="Times New Roman" w:hAnsi="Times New Roman" w:eastAsia="宋体" w:cs="Times New Roman"/>
      <w:sz w:val="24"/>
      <w:szCs w:val="24"/>
    </w:rPr>
  </w:style>
  <w:style w:type="character" w:customStyle="1" w:styleId="30">
    <w:name w:val="Date Char"/>
    <w:link w:val="14"/>
    <w:qFormat/>
    <w:locked/>
    <w:uiPriority w:val="0"/>
    <w:rPr>
      <w:rFonts w:ascii="Times New Roman" w:hAnsi="Times New Roman" w:eastAsia="宋体"/>
      <w:sz w:val="24"/>
    </w:rPr>
  </w:style>
  <w:style w:type="character" w:customStyle="1" w:styleId="31">
    <w:name w:val="Balloon Text Char"/>
    <w:basedOn w:val="24"/>
    <w:link w:val="15"/>
    <w:semiHidden/>
    <w:qFormat/>
    <w:locked/>
    <w:uiPriority w:val="0"/>
    <w:rPr>
      <w:rFonts w:ascii="Times New Roman" w:hAnsi="Times New Roman" w:eastAsia="宋体" w:cs="Times New Roman"/>
      <w:sz w:val="18"/>
      <w:szCs w:val="18"/>
    </w:rPr>
  </w:style>
  <w:style w:type="character" w:customStyle="1" w:styleId="32">
    <w:name w:val="Footer Char"/>
    <w:basedOn w:val="24"/>
    <w:link w:val="16"/>
    <w:qFormat/>
    <w:locked/>
    <w:uiPriority w:val="0"/>
    <w:rPr>
      <w:rFonts w:cs="Times New Roman"/>
      <w:sz w:val="18"/>
      <w:szCs w:val="18"/>
    </w:rPr>
  </w:style>
  <w:style w:type="character" w:customStyle="1" w:styleId="33">
    <w:name w:val="Header Char"/>
    <w:basedOn w:val="24"/>
    <w:link w:val="17"/>
    <w:qFormat/>
    <w:locked/>
    <w:uiPriority w:val="0"/>
    <w:rPr>
      <w:rFonts w:cs="Times New Roman"/>
      <w:sz w:val="18"/>
      <w:szCs w:val="18"/>
    </w:rPr>
  </w:style>
  <w:style w:type="character" w:customStyle="1" w:styleId="34">
    <w:name w:val="Normal (Web) Char"/>
    <w:link w:val="19"/>
    <w:qFormat/>
    <w:locked/>
    <w:uiPriority w:val="0"/>
    <w:rPr>
      <w:rFonts w:ascii="宋体" w:hAnsi="宋体" w:eastAsia="宋体"/>
      <w:sz w:val="24"/>
    </w:rPr>
  </w:style>
  <w:style w:type="character" w:customStyle="1" w:styleId="35">
    <w:name w:val="Comment Subject Char"/>
    <w:basedOn w:val="27"/>
    <w:link w:val="20"/>
    <w:semiHidden/>
    <w:qFormat/>
    <w:locked/>
    <w:uiPriority w:val="0"/>
    <w:rPr>
      <w:rFonts w:cs="Times New Roman"/>
      <w:b/>
      <w:bCs/>
      <w:kern w:val="2"/>
      <w:szCs w:val="24"/>
    </w:rPr>
  </w:style>
  <w:style w:type="paragraph" w:customStyle="1" w:styleId="36">
    <w:name w:val="Default"/>
    <w:basedOn w:val="37"/>
    <w:qFormat/>
    <w:uiPriority w:val="0"/>
    <w:pPr>
      <w:autoSpaceDE w:val="0"/>
      <w:autoSpaceDN w:val="0"/>
    </w:pPr>
    <w:rPr>
      <w:rFonts w:ascii="黑体" w:hAnsi="Times New Roman" w:eastAsia="黑体"/>
      <w:szCs w:val="22"/>
    </w:rPr>
  </w:style>
  <w:style w:type="paragraph" w:customStyle="1" w:styleId="37">
    <w:name w:val="纯文本1"/>
    <w:basedOn w:val="1"/>
    <w:next w:val="12"/>
    <w:qFormat/>
    <w:uiPriority w:val="0"/>
    <w:pPr>
      <w:adjustRightInd w:val="0"/>
    </w:pPr>
    <w:rPr>
      <w:rFonts w:ascii="宋体" w:hAnsi="Courier New"/>
    </w:rPr>
  </w:style>
  <w:style w:type="paragraph" w:customStyle="1" w:styleId="38">
    <w:name w:val="表格文字"/>
    <w:basedOn w:val="10"/>
    <w:next w:val="1"/>
    <w:qFormat/>
    <w:uiPriority w:val="0"/>
    <w:pPr>
      <w:tabs>
        <w:tab w:val="left" w:pos="1021"/>
      </w:tabs>
      <w:spacing w:after="0" w:line="240" w:lineRule="auto"/>
      <w:jc w:val="center"/>
    </w:pPr>
    <w:rPr>
      <w:color w:val="000000"/>
      <w:kern w:val="40"/>
      <w:sz w:val="21"/>
    </w:rPr>
  </w:style>
  <w:style w:type="paragraph" w:customStyle="1" w:styleId="39">
    <w:name w:val="样式35"/>
    <w:basedOn w:val="40"/>
    <w:next w:val="44"/>
    <w:qFormat/>
    <w:uiPriority w:val="0"/>
    <w:pPr>
      <w:tabs>
        <w:tab w:val="left" w:pos="0"/>
        <w:tab w:val="left" w:pos="360"/>
        <w:tab w:val="left" w:pos="480"/>
        <w:tab w:val="left" w:pos="540"/>
        <w:tab w:val="left" w:pos="567"/>
        <w:tab w:val="left" w:pos="720"/>
        <w:tab w:val="center" w:pos="4153"/>
        <w:tab w:val="right" w:pos="8306"/>
      </w:tabs>
      <w:spacing w:line="312" w:lineRule="auto"/>
      <w:ind w:firstLine="567"/>
    </w:pPr>
    <w:rPr>
      <w:rFonts w:ascii="宋体"/>
      <w:sz w:val="28"/>
    </w:rPr>
  </w:style>
  <w:style w:type="paragraph" w:customStyle="1" w:styleId="40">
    <w:name w:val="样式26"/>
    <w:basedOn w:val="41"/>
    <w:qFormat/>
    <w:uiPriority w:val="0"/>
    <w:pPr>
      <w:tabs>
        <w:tab w:val="left" w:pos="0"/>
        <w:tab w:val="left" w:pos="360"/>
        <w:tab w:val="left" w:pos="480"/>
        <w:tab w:val="left" w:pos="540"/>
        <w:tab w:val="left" w:pos="567"/>
        <w:tab w:val="left" w:pos="720"/>
        <w:tab w:val="center" w:pos="4153"/>
        <w:tab w:val="right" w:pos="8306"/>
      </w:tabs>
    </w:pPr>
  </w:style>
  <w:style w:type="paragraph" w:customStyle="1" w:styleId="41">
    <w:name w:val="样式21"/>
    <w:basedOn w:val="42"/>
    <w:qFormat/>
    <w:uiPriority w:val="0"/>
    <w:pPr>
      <w:tabs>
        <w:tab w:val="center" w:pos="4153"/>
        <w:tab w:val="right" w:pos="8306"/>
      </w:tabs>
      <w:ind w:left="567" w:hanging="567"/>
    </w:pPr>
  </w:style>
  <w:style w:type="paragraph" w:customStyle="1" w:styleId="42">
    <w:name w:val="样式5"/>
    <w:basedOn w:val="43"/>
    <w:qFormat/>
    <w:uiPriority w:val="0"/>
    <w:pPr>
      <w:pBdr>
        <w:top w:val="single" w:color="auto" w:sz="4" w:space="1"/>
      </w:pBdr>
      <w:tabs>
        <w:tab w:val="center" w:pos="4153"/>
        <w:tab w:val="right" w:pos="8306"/>
      </w:tabs>
    </w:pPr>
  </w:style>
  <w:style w:type="paragraph" w:customStyle="1" w:styleId="43">
    <w:name w:val="样式12"/>
    <w:basedOn w:val="4"/>
    <w:qFormat/>
    <w:uiPriority w:val="0"/>
    <w:pPr>
      <w:spacing w:before="180" w:after="120" w:line="500" w:lineRule="exact"/>
      <w:ind w:firstLine="200" w:firstLineChars="200"/>
      <w:jc w:val="center"/>
    </w:pPr>
    <w:rPr>
      <w:rFonts w:ascii="Arial" w:hAnsi="Arial"/>
      <w:sz w:val="36"/>
    </w:rPr>
  </w:style>
  <w:style w:type="paragraph" w:customStyle="1" w:styleId="44">
    <w:name w:val="font6"/>
    <w:basedOn w:val="1"/>
    <w:next w:val="18"/>
    <w:qFormat/>
    <w:uiPriority w:val="0"/>
    <w:pPr>
      <w:widowControl/>
      <w:spacing w:before="100" w:beforeAutospacing="1" w:after="100" w:afterAutospacing="1"/>
      <w:jc w:val="left"/>
    </w:pPr>
    <w:rPr>
      <w:rFonts w:ascii="宋体" w:hAnsi="宋体" w:cs="宋体"/>
      <w:kern w:val="0"/>
      <w:sz w:val="20"/>
    </w:rPr>
  </w:style>
  <w:style w:type="character" w:customStyle="1" w:styleId="45">
    <w:name w:val="日期 字符"/>
    <w:basedOn w:val="24"/>
    <w:semiHidden/>
    <w:qFormat/>
    <w:uiPriority w:val="0"/>
    <w:rPr>
      <w:rFonts w:ascii="Times New Roman" w:hAnsi="Times New Roman" w:eastAsia="宋体" w:cs="Times New Roman"/>
      <w:sz w:val="24"/>
      <w:szCs w:val="24"/>
    </w:rPr>
  </w:style>
  <w:style w:type="character" w:customStyle="1" w:styleId="46">
    <w:name w:val="正文文本 字符1"/>
    <w:basedOn w:val="24"/>
    <w:semiHidden/>
    <w:qFormat/>
    <w:uiPriority w:val="0"/>
    <w:rPr>
      <w:rFonts w:ascii="Times New Roman" w:hAnsi="Times New Roman" w:eastAsia="宋体" w:cs="Times New Roman"/>
      <w:sz w:val="24"/>
      <w:szCs w:val="24"/>
    </w:rPr>
  </w:style>
  <w:style w:type="paragraph" w:customStyle="1" w:styleId="47">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8">
    <w:name w:val="表格 Char"/>
    <w:link w:val="49"/>
    <w:qFormat/>
    <w:locked/>
    <w:uiPriority w:val="0"/>
    <w:rPr>
      <w:rFonts w:ascii="宋体"/>
      <w:sz w:val="21"/>
    </w:rPr>
  </w:style>
  <w:style w:type="paragraph" w:customStyle="1" w:styleId="49">
    <w:name w:val="表格"/>
    <w:basedOn w:val="1"/>
    <w:next w:val="1"/>
    <w:link w:val="48"/>
    <w:qFormat/>
    <w:uiPriority w:val="0"/>
    <w:pPr>
      <w:adjustRightInd w:val="0"/>
      <w:snapToGrid w:val="0"/>
      <w:spacing w:beforeLines="10" w:afterLines="10" w:line="259" w:lineRule="auto"/>
      <w:jc w:val="center"/>
    </w:pPr>
    <w:rPr>
      <w:rFonts w:ascii="宋体"/>
      <w:kern w:val="0"/>
      <w:sz w:val="20"/>
      <w:szCs w:val="21"/>
    </w:rPr>
  </w:style>
  <w:style w:type="character" w:customStyle="1" w:styleId="50">
    <w:name w:val="批注文字 字符1"/>
    <w:basedOn w:val="24"/>
    <w:semiHidden/>
    <w:qFormat/>
    <w:uiPriority w:val="0"/>
    <w:rPr>
      <w:rFonts w:ascii="Times New Roman" w:hAnsi="Times New Roman" w:eastAsia="宋体" w:cs="Times New Roman"/>
      <w:sz w:val="24"/>
      <w:szCs w:val="24"/>
    </w:rPr>
  </w:style>
  <w:style w:type="character" w:customStyle="1" w:styleId="51">
    <w:name w:val="普通(网站) Char"/>
    <w:qFormat/>
    <w:locked/>
    <w:uiPriority w:val="0"/>
    <w:rPr>
      <w:rFonts w:ascii="宋体" w:hAnsi="宋体" w:eastAsia="宋体"/>
      <w:sz w:val="24"/>
    </w:rPr>
  </w:style>
  <w:style w:type="paragraph" w:customStyle="1" w:styleId="52">
    <w:name w:val="Lux 正文"/>
    <w:basedOn w:val="1"/>
    <w:qFormat/>
    <w:uiPriority w:val="0"/>
    <w:pPr>
      <w:spacing w:before="80" w:after="80" w:line="500" w:lineRule="exact"/>
      <w:ind w:firstLine="200" w:firstLineChars="200"/>
    </w:pPr>
    <w:rPr>
      <w:kern w:val="0"/>
      <w:sz w:val="24"/>
      <w:szCs w:val="20"/>
    </w:rPr>
  </w:style>
  <w:style w:type="paragraph" w:customStyle="1" w:styleId="53">
    <w:name w:val="Table Paragraph"/>
    <w:basedOn w:val="1"/>
    <w:qFormat/>
    <w:uiPriority w:val="1"/>
    <w:pPr>
      <w:jc w:val="center"/>
    </w:pPr>
    <w:rPr>
      <w:rFonts w:ascii="宋体" w:hAnsi="宋体" w:cs="宋体"/>
      <w:lang w:val="zh-CN" w:bidi="zh-CN"/>
    </w:rPr>
  </w:style>
  <w:style w:type="paragraph" w:styleId="54">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5">
    <w:name w:val="1表格字体"/>
    <w:basedOn w:val="1"/>
    <w:qFormat/>
    <w:uiPriority w:val="0"/>
    <w:pPr>
      <w:spacing w:line="264" w:lineRule="auto"/>
      <w:jc w:val="center"/>
    </w:pPr>
  </w:style>
  <w:style w:type="paragraph" w:customStyle="1" w:styleId="56">
    <w:name w:val="图标标题"/>
    <w:basedOn w:val="1"/>
    <w:qFormat/>
    <w:uiPriority w:val="0"/>
    <w:pPr>
      <w:ind w:firstLine="200" w:firstLineChars="200"/>
      <w:jc w:val="center"/>
    </w:pPr>
    <w:rPr>
      <w:rFonts w:ascii="Calibri" w:hAnsi="Calibri" w:cs="黑体"/>
      <w:b/>
      <w:szCs w:val="22"/>
    </w:rPr>
  </w:style>
  <w:style w:type="paragraph" w:customStyle="1" w:styleId="57">
    <w:name w:val="表标题"/>
    <w:basedOn w:val="7"/>
    <w:next w:val="58"/>
    <w:qFormat/>
    <w:uiPriority w:val="0"/>
    <w:pPr>
      <w:spacing w:line="520" w:lineRule="exact"/>
      <w:jc w:val="center"/>
      <w:textAlignment w:val="baseline"/>
    </w:pPr>
    <w:rPr>
      <w:b/>
      <w:kern w:val="0"/>
      <w:szCs w:val="20"/>
    </w:rPr>
  </w:style>
  <w:style w:type="paragraph" w:customStyle="1" w:styleId="58">
    <w:name w:val="正文内容"/>
    <w:basedOn w:val="1"/>
    <w:qFormat/>
    <w:uiPriority w:val="0"/>
    <w:pPr>
      <w:ind w:firstLine="200"/>
    </w:pPr>
    <w:rPr>
      <w:kern w:val="0"/>
    </w:rPr>
  </w:style>
  <w:style w:type="paragraph" w:customStyle="1" w:styleId="59">
    <w:name w:val="表格正文"/>
    <w:next w:val="1"/>
    <w:qFormat/>
    <w:uiPriority w:val="0"/>
    <w:pPr>
      <w:adjustRightInd w:val="0"/>
      <w:snapToGrid w:val="0"/>
      <w:jc w:val="center"/>
    </w:pPr>
    <w:rPr>
      <w:rFonts w:ascii="Times New Roman" w:hAnsi="Times New Roman" w:eastAsia="宋体" w:cs="Times New Roman"/>
      <w:sz w:val="21"/>
      <w:szCs w:val="24"/>
      <w:lang w:val="en-US" w:eastAsia="zh-CN" w:bidi="ar-SA"/>
    </w:rPr>
  </w:style>
  <w:style w:type="paragraph" w:customStyle="1" w:styleId="60">
    <w:name w:val="绿景+正文"/>
    <w:basedOn w:val="1"/>
    <w:qFormat/>
    <w:uiPriority w:val="0"/>
    <w:pPr>
      <w:spacing w:line="520" w:lineRule="exact"/>
      <w:ind w:firstLine="200" w:firstLineChars="200"/>
    </w:pPr>
    <w:rPr>
      <w:rFonts w:ascii="Calibri" w:hAnsi="Calibri" w:eastAsia="仿宋_GB2312"/>
      <w:sz w:val="24"/>
      <w:szCs w:val="22"/>
    </w:rPr>
  </w:style>
  <w:style w:type="character" w:customStyle="1" w:styleId="61">
    <w:name w:val="font61"/>
    <w:basedOn w:val="24"/>
    <w:qFormat/>
    <w:uiPriority w:val="0"/>
    <w:rPr>
      <w:rFonts w:hint="eastAsia" w:ascii="宋体" w:hAnsi="宋体" w:eastAsia="宋体" w:cs="宋体"/>
      <w:color w:val="000000"/>
      <w:sz w:val="24"/>
      <w:szCs w:val="24"/>
      <w:u w:val="none"/>
    </w:rPr>
  </w:style>
  <w:style w:type="character" w:customStyle="1" w:styleId="62">
    <w:name w:val="font31"/>
    <w:basedOn w:val="24"/>
    <w:qFormat/>
    <w:uiPriority w:val="0"/>
    <w:rPr>
      <w:rFonts w:hint="default" w:ascii="Times New Roman" w:hAnsi="Times New Roman" w:cs="Times New Roman"/>
      <w:color w:val="000000"/>
      <w:sz w:val="24"/>
      <w:szCs w:val="24"/>
      <w:u w:val="none"/>
    </w:rPr>
  </w:style>
  <w:style w:type="character" w:customStyle="1" w:styleId="63">
    <w:name w:val="font51"/>
    <w:basedOn w:val="24"/>
    <w:qFormat/>
    <w:uiPriority w:val="0"/>
    <w:rPr>
      <w:rFonts w:hint="default" w:ascii="Times New Roman" w:hAnsi="Times New Roman" w:cs="Times New Roman"/>
      <w:color w:val="000000"/>
      <w:sz w:val="24"/>
      <w:szCs w:val="24"/>
      <w:u w:val="none"/>
    </w:rPr>
  </w:style>
  <w:style w:type="character" w:customStyle="1" w:styleId="64">
    <w:name w:val="font41"/>
    <w:basedOn w:val="24"/>
    <w:qFormat/>
    <w:uiPriority w:val="0"/>
    <w:rPr>
      <w:rFonts w:hint="eastAsia" w:ascii="宋体" w:hAnsi="宋体" w:eastAsia="宋体" w:cs="宋体"/>
      <w:color w:val="000000"/>
      <w:sz w:val="24"/>
      <w:szCs w:val="24"/>
      <w:u w:val="none"/>
    </w:rPr>
  </w:style>
  <w:style w:type="character" w:customStyle="1" w:styleId="65">
    <w:name w:val="font11"/>
    <w:basedOn w:val="24"/>
    <w:qFormat/>
    <w:uiPriority w:val="0"/>
    <w:rPr>
      <w:rFonts w:hint="eastAsia" w:ascii="宋体" w:hAnsi="宋体" w:eastAsia="宋体" w:cs="宋体"/>
      <w:color w:val="000000"/>
      <w:sz w:val="22"/>
      <w:szCs w:val="22"/>
      <w:u w:val="none"/>
    </w:rPr>
  </w:style>
  <w:style w:type="character" w:customStyle="1" w:styleId="66">
    <w:name w:val="font21"/>
    <w:basedOn w:val="24"/>
    <w:qFormat/>
    <w:uiPriority w:val="0"/>
    <w:rPr>
      <w:rFonts w:hint="default" w:ascii="Times New Roman" w:hAnsi="Times New Roman" w:cs="Times New Roman"/>
      <w:color w:val="000000"/>
      <w:sz w:val="22"/>
      <w:szCs w:val="22"/>
      <w:u w:val="none"/>
    </w:rPr>
  </w:style>
  <w:style w:type="character" w:customStyle="1" w:styleId="67">
    <w:name w:val="font81"/>
    <w:basedOn w:val="24"/>
    <w:qFormat/>
    <w:uiPriority w:val="0"/>
    <w:rPr>
      <w:rFonts w:hint="eastAsia" w:ascii="宋体" w:hAnsi="宋体" w:eastAsia="宋体" w:cs="宋体"/>
      <w:b/>
      <w:bCs/>
      <w:color w:val="000000"/>
      <w:sz w:val="24"/>
      <w:szCs w:val="24"/>
      <w:u w:val="none"/>
    </w:rPr>
  </w:style>
  <w:style w:type="character" w:customStyle="1" w:styleId="68">
    <w:name w:val="font91"/>
    <w:basedOn w:val="24"/>
    <w:qFormat/>
    <w:uiPriority w:val="0"/>
    <w:rPr>
      <w:rFonts w:hint="default" w:ascii="Times New Roman" w:hAnsi="Times New Roman" w:cs="Times New Roman"/>
      <w:color w:val="000000"/>
      <w:sz w:val="24"/>
      <w:szCs w:val="24"/>
      <w:u w:val="none"/>
      <w:vertAlign w:val="superscript"/>
    </w:rPr>
  </w:style>
  <w:style w:type="paragraph" w:customStyle="1" w:styleId="69">
    <w:name w:val="青峰桥正文"/>
    <w:basedOn w:val="1"/>
    <w:qFormat/>
    <w:uiPriority w:val="0"/>
    <w:pPr>
      <w:autoSpaceDE w:val="0"/>
      <w:autoSpaceDN w:val="0"/>
      <w:adjustRightInd/>
      <w:snapToGrid/>
      <w:spacing w:line="360" w:lineRule="auto"/>
      <w:ind w:firstLine="720" w:firstLineChars="200"/>
    </w:pPr>
    <w:rPr>
      <w:rFonts w:ascii="宋体" w:hAnsi="宋体" w:eastAsia="宋体" w:cs="宋体"/>
      <w:kern w:val="0"/>
      <w:sz w:val="24"/>
      <w:szCs w:val="21"/>
    </w:rPr>
  </w:style>
  <w:style w:type="paragraph" w:customStyle="1" w:styleId="70">
    <w:name w:val="样式 (符号) 宋体 小四 行距: 1.5 倍行距"/>
    <w:basedOn w:val="1"/>
    <w:qFormat/>
    <w:uiPriority w:val="0"/>
    <w:pPr>
      <w:spacing w:line="360" w:lineRule="auto"/>
      <w:ind w:firstLine="480" w:firstLineChars="200"/>
    </w:pPr>
    <w:rPr>
      <w:rFonts w:ascii="Calibri" w:hAnsi="宋体" w:cs="宋体"/>
      <w:sz w:val="24"/>
      <w:szCs w:val="21"/>
    </w:rPr>
  </w:style>
  <w:style w:type="paragraph" w:customStyle="1" w:styleId="71">
    <w:name w:val="xl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rPr>
  </w:style>
  <w:style w:type="paragraph" w:customStyle="1" w:styleId="72">
    <w:name w:val="表格题注"/>
    <w:qFormat/>
    <w:uiPriority w:val="0"/>
    <w:pPr>
      <w:jc w:val="center"/>
    </w:pPr>
    <w:rPr>
      <w:rFonts w:ascii="Calibri" w:hAnsi="Calibri" w:eastAsia="宋体" w:cs="Times New Roman"/>
      <w:b/>
      <w:sz w:val="21"/>
      <w:szCs w:val="22"/>
      <w:lang w:val="en-US" w:eastAsia="zh-CN" w:bidi="ar-SA"/>
    </w:rPr>
  </w:style>
  <w:style w:type="paragraph" w:customStyle="1" w:styleId="73">
    <w:name w:val="表头"/>
    <w:basedOn w:val="10"/>
    <w:qFormat/>
    <w:uiPriority w:val="0"/>
    <w:pPr>
      <w:adjustRightInd w:val="0"/>
      <w:snapToGrid w:val="0"/>
      <w:spacing w:line="240" w:lineRule="auto"/>
      <w:ind w:firstLine="0" w:firstLineChars="0"/>
      <w:jc w:val="center"/>
    </w:pPr>
    <w:rPr>
      <w:rFonts w:ascii="Times New Roman" w:hAnsi="Times New Roman" w:eastAsia="宋体" w:cs="宋体"/>
      <w:b/>
    </w:rPr>
  </w:style>
  <w:style w:type="paragraph" w:customStyle="1" w:styleId="74">
    <w:name w:val="表文字"/>
    <w:basedOn w:val="1"/>
    <w:qFormat/>
    <w:uiPriority w:val="0"/>
    <w:pPr>
      <w:spacing w:line="240" w:lineRule="auto"/>
      <w:ind w:firstLine="0" w:firstLineChars="0"/>
      <w:jc w:val="center"/>
    </w:pPr>
    <w:rPr>
      <w:b/>
      <w:bCs/>
      <w:kern w:val="10"/>
    </w:rPr>
  </w:style>
  <w:style w:type="paragraph" w:customStyle="1" w:styleId="75">
    <w:name w:val="表格内文字"/>
    <w:qFormat/>
    <w:uiPriority w:val="0"/>
    <w:pPr>
      <w:jc w:val="center"/>
    </w:pPr>
    <w:rPr>
      <w:rFonts w:ascii="Times New Roman" w:hAnsi="Times New Roman" w:eastAsia="宋体" w:cs="宋体"/>
      <w:kern w:val="2"/>
      <w:sz w:val="21"/>
      <w:szCs w:val="21"/>
      <w:lang w:val="en-US" w:eastAsia="zh-CN" w:bidi="ar-SA"/>
    </w:rPr>
  </w:style>
  <w:style w:type="paragraph" w:customStyle="1" w:styleId="76">
    <w:name w:val="报告正文"/>
    <w:basedOn w:val="1"/>
    <w:qFormat/>
    <w:uiPriority w:val="0"/>
    <w:pPr>
      <w:adjustRightInd w:val="0"/>
      <w:snapToGrid w:val="0"/>
      <w:spacing w:line="300" w:lineRule="auto"/>
    </w:pPr>
    <w:rPr>
      <w:rFonts w:ascii="宋体"/>
      <w:sz w:val="28"/>
      <w:szCs w:val="20"/>
    </w:rPr>
  </w:style>
  <w:style w:type="paragraph" w:customStyle="1" w:styleId="77">
    <w:name w:val="表文(G)"/>
    <w:basedOn w:val="1"/>
    <w:qFormat/>
    <w:uiPriority w:val="0"/>
    <w:pPr>
      <w:tabs>
        <w:tab w:val="left" w:pos="1021"/>
      </w:tabs>
      <w:jc w:val="center"/>
    </w:pPr>
    <w:rPr>
      <w:rFonts w:hAnsi="宋体"/>
      <w:kern w:val="0"/>
      <w:position w:val="-24"/>
      <w:szCs w:val="21"/>
    </w:rPr>
  </w:style>
  <w:style w:type="paragraph" w:customStyle="1" w:styleId="78">
    <w:name w:val="正文5"/>
    <w:qFormat/>
    <w:uiPriority w:val="0"/>
    <w:pPr>
      <w:spacing w:line="360" w:lineRule="auto"/>
      <w:ind w:firstLine="200" w:firstLineChars="200"/>
    </w:pPr>
    <w:rPr>
      <w:rFonts w:ascii="Calibri" w:hAnsi="Calibri" w:eastAsia="宋体" w:cs="宋体"/>
      <w:sz w:val="24"/>
      <w:lang w:val="en-US" w:eastAsia="zh-CN" w:bidi="ar-SA"/>
    </w:rPr>
  </w:style>
  <w:style w:type="paragraph" w:customStyle="1" w:styleId="79">
    <w:name w:val="段落1"/>
    <w:basedOn w:val="1"/>
    <w:qFormat/>
    <w:uiPriority w:val="0"/>
    <w:pPr>
      <w:spacing w:line="480" w:lineRule="exact"/>
      <w:ind w:firstLine="584" w:firstLineChars="200"/>
    </w:pPr>
    <w:rPr>
      <w:spacing w:val="6"/>
      <w:szCs w:val="24"/>
    </w:rPr>
  </w:style>
  <w:style w:type="paragraph" w:customStyle="1" w:styleId="80">
    <w:name w:val="表格名称"/>
    <w:basedOn w:val="1"/>
    <w:qFormat/>
    <w:uiPriority w:val="0"/>
    <w:pPr>
      <w:keepNext/>
      <w:keepLines/>
      <w:wordWrap w:val="0"/>
      <w:topLinePunct/>
      <w:adjustRightInd w:val="0"/>
      <w:spacing w:line="240" w:lineRule="auto"/>
      <w:ind w:firstLine="0" w:firstLineChars="0"/>
      <w:jc w:val="center"/>
    </w:pPr>
    <w:rPr>
      <w:b/>
    </w:rPr>
  </w:style>
  <w:style w:type="paragraph" w:customStyle="1" w:styleId="81">
    <w:name w:val="样式 样式 正文缩进s4标题4表正文正文非缩进图标题段1Body Text(ch)缩进ALT+Z特点四号正文不... + 首行缩..."/>
    <w:basedOn w:val="1"/>
    <w:qFormat/>
    <w:uiPriority w:val="0"/>
    <w:pPr>
      <w:ind w:firstLine="480" w:firstLineChars="200"/>
    </w:pPr>
    <w:rPr>
      <w:rFonts w:ascii="宋体" w:hAnsi="宋体" w:eastAsia="仿宋_GB2312" w:cs="宋体"/>
      <w:kern w:val="0"/>
      <w:sz w:val="24"/>
    </w:rPr>
  </w:style>
  <w:style w:type="paragraph" w:styleId="82">
    <w:name w:val="List Paragraph"/>
    <w:basedOn w:val="1"/>
    <w:unhideWhenUsed/>
    <w:qFormat/>
    <w:uiPriority w:val="1"/>
    <w:pPr>
      <w:spacing w:beforeLines="0" w:afterLines="0"/>
    </w:pPr>
    <w:rPr>
      <w:rFonts w:hint="default"/>
      <w:sz w:val="24"/>
      <w:szCs w:val="24"/>
    </w:rPr>
  </w:style>
  <w:style w:type="paragraph" w:customStyle="1" w:styleId="83">
    <w:name w:val="WPSOffice手动目录 1"/>
    <w:qFormat/>
    <w:uiPriority w:val="0"/>
    <w:pPr>
      <w:ind w:leftChars="0"/>
    </w:pPr>
    <w:rPr>
      <w:rFonts w:ascii="Times New Roman" w:hAnsi="Times New Roman" w:eastAsia="宋体" w:cs="Times New Roman"/>
      <w:sz w:val="20"/>
      <w:szCs w:val="20"/>
    </w:rPr>
  </w:style>
  <w:style w:type="paragraph" w:customStyle="1" w:styleId="84">
    <w:name w:val="WPSOffice手动目录 2"/>
    <w:qFormat/>
    <w:uiPriority w:val="0"/>
    <w:pPr>
      <w:ind w:leftChars="200"/>
    </w:pPr>
    <w:rPr>
      <w:rFonts w:ascii="Times New Roman" w:hAnsi="Times New Roman" w:eastAsia="宋体" w:cs="Times New Roman"/>
      <w:sz w:val="20"/>
      <w:szCs w:val="20"/>
    </w:rPr>
  </w:style>
  <w:style w:type="character" w:customStyle="1" w:styleId="85">
    <w:name w:val="Char Char441"/>
    <w:qFormat/>
    <w:uiPriority w:val="0"/>
    <w:rPr>
      <w:rFonts w:eastAsia="宋体"/>
      <w:color w:val="000000"/>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微软中国</Company>
  <Pages>61</Pages>
  <Words>35316</Words>
  <Characters>39038</Characters>
  <Lines>1</Lines>
  <Paragraphs>1</Paragraphs>
  <TotalTime>28</TotalTime>
  <ScaleCrop>false</ScaleCrop>
  <LinksUpToDate>false</LinksUpToDate>
  <CharactersWithSpaces>39492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小蜗牛</cp:lastModifiedBy>
  <cp:lastPrinted>2020-12-24T01:50:00Z</cp:lastPrinted>
  <dcterms:modified xsi:type="dcterms:W3CDTF">2023-05-15T03:04:27Z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AF77EFAAA48D4407B9AC6E620CD25D13_13</vt:lpwstr>
  </property>
</Properties>
</file>